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652" w:rsidRDefault="00287226" w:rsidP="00287226">
      <w:pPr>
        <w:pStyle w:val="BodyText"/>
        <w:ind w:left="360"/>
      </w:pPr>
      <w:bookmarkStart w:id="0" w:name="_GoBack"/>
      <w:bookmarkEnd w:id="0"/>
      <w:r w:rsidRPr="00B25FA9">
        <w:t xml:space="preserve">The Contractor will be responsible for the development and deployment of a set of standard </w:t>
      </w:r>
      <w:r>
        <w:t xml:space="preserve">conversions </w:t>
      </w:r>
      <w:r w:rsidRPr="00287226">
        <w:t xml:space="preserve">related to </w:t>
      </w:r>
      <w:r w:rsidR="00EA0094">
        <w:t>the conversion of</w:t>
      </w:r>
      <w:r w:rsidRPr="00287226">
        <w:t xml:space="preserve"> legacy data to </w:t>
      </w:r>
      <w:r>
        <w:t>the new ERP system.</w:t>
      </w:r>
      <w:r w:rsidRPr="00287226">
        <w:t xml:space="preserve"> </w:t>
      </w:r>
      <w:r w:rsidR="00983AD7">
        <w:t>The table below</w:t>
      </w:r>
      <w:r w:rsidR="005551E9">
        <w:t xml:space="preserve"> identifies the legacy systems by institution which the Contract will reference when addressing the </w:t>
      </w:r>
      <w:r w:rsidR="001E55D6">
        <w:t>types of data to be converted</w:t>
      </w:r>
      <w:r w:rsidR="005551E9">
        <w:t xml:space="preserve"> listed in the table on the following page</w:t>
      </w:r>
      <w:r w:rsidR="00983AD7">
        <w:t>s</w:t>
      </w:r>
      <w:r w:rsidR="005551E9">
        <w:t>.</w:t>
      </w:r>
    </w:p>
    <w:p w:rsidR="005551E9" w:rsidRDefault="005551E9" w:rsidP="00287226">
      <w:pPr>
        <w:pStyle w:val="BodyText"/>
        <w:ind w:left="360"/>
      </w:pPr>
    </w:p>
    <w:tbl>
      <w:tblPr>
        <w:tblW w:w="13860" w:type="dxa"/>
        <w:tblLook w:val="04A0" w:firstRow="1" w:lastRow="0" w:firstColumn="1" w:lastColumn="0" w:noHBand="0" w:noVBand="1"/>
      </w:tblPr>
      <w:tblGrid>
        <w:gridCol w:w="5200"/>
        <w:gridCol w:w="2270"/>
        <w:gridCol w:w="2160"/>
        <w:gridCol w:w="2160"/>
        <w:gridCol w:w="2070"/>
      </w:tblGrid>
      <w:tr w:rsidR="00241EA4" w:rsidRPr="00241EA4" w:rsidTr="009F2736">
        <w:trPr>
          <w:trHeight w:val="61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A4" w:rsidRPr="00241EA4" w:rsidRDefault="00241EA4" w:rsidP="002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tcBorders>
              <w:top w:val="single" w:sz="8" w:space="0" w:color="215968"/>
              <w:left w:val="single" w:sz="8" w:space="0" w:color="FFFFFF"/>
              <w:bottom w:val="single" w:sz="8" w:space="0" w:color="215968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241EA4" w:rsidRPr="00241EA4" w:rsidRDefault="00241EA4" w:rsidP="0024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41EA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   Current Core Business Systems</w:t>
            </w:r>
          </w:p>
        </w:tc>
      </w:tr>
      <w:tr w:rsidR="00241EA4" w:rsidRPr="00241EA4" w:rsidTr="009F2736">
        <w:trPr>
          <w:trHeight w:val="420"/>
        </w:trPr>
        <w:tc>
          <w:tcPr>
            <w:tcW w:w="5200" w:type="dxa"/>
            <w:vMerge w:val="restart"/>
            <w:tcBorders>
              <w:top w:val="nil"/>
              <w:left w:val="nil"/>
              <w:bottom w:val="single" w:sz="8" w:space="0" w:color="215968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32"/>
                <w:szCs w:val="32"/>
              </w:rPr>
            </w:pPr>
            <w:r w:rsidRPr="009F2736">
              <w:rPr>
                <w:rFonts w:eastAsia="Times New Roman" w:cstheme="minorHAnsi"/>
                <w:b/>
                <w:bCs/>
                <w:color w:val="FFFFFF"/>
                <w:sz w:val="32"/>
                <w:szCs w:val="32"/>
              </w:rPr>
              <w:t>Institutions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457686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32"/>
                <w:szCs w:val="32"/>
              </w:rPr>
            </w:pPr>
            <w:r w:rsidRPr="009F2736">
              <w:rPr>
                <w:rFonts w:eastAsia="Times New Roman" w:cstheme="minorHAnsi"/>
                <w:b/>
                <w:bCs/>
                <w:color w:val="FFFFFF"/>
                <w:sz w:val="32"/>
                <w:szCs w:val="32"/>
              </w:rPr>
              <w:t>HCM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457686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32"/>
                <w:szCs w:val="32"/>
              </w:rPr>
            </w:pPr>
            <w:r w:rsidRPr="009F2736">
              <w:rPr>
                <w:rFonts w:eastAsia="Times New Roman" w:cstheme="minorHAnsi"/>
                <w:b/>
                <w:bCs/>
                <w:color w:val="FFFFFF"/>
                <w:sz w:val="32"/>
                <w:szCs w:val="32"/>
              </w:rPr>
              <w:t>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457686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32"/>
                <w:szCs w:val="32"/>
              </w:rPr>
            </w:pPr>
            <w:r w:rsidRPr="009F2736">
              <w:rPr>
                <w:rFonts w:eastAsia="Times New Roman" w:cstheme="minorHAnsi"/>
                <w:b/>
                <w:bCs/>
                <w:color w:val="FFFFFF"/>
                <w:sz w:val="32"/>
                <w:szCs w:val="32"/>
              </w:rPr>
              <w:t>FIN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215968"/>
            </w:tcBorders>
            <w:shd w:val="clear" w:color="000000" w:fill="457686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32"/>
                <w:szCs w:val="32"/>
              </w:rPr>
            </w:pPr>
            <w:r w:rsidRPr="009F2736">
              <w:rPr>
                <w:rFonts w:eastAsia="Times New Roman" w:cstheme="minorHAnsi"/>
                <w:b/>
                <w:bCs/>
                <w:color w:val="FFFFFF"/>
                <w:sz w:val="32"/>
                <w:szCs w:val="32"/>
              </w:rPr>
              <w:t>PRO</w:t>
            </w:r>
          </w:p>
        </w:tc>
      </w:tr>
      <w:tr w:rsidR="00241EA4" w:rsidRPr="00241EA4" w:rsidTr="009F2736">
        <w:trPr>
          <w:trHeight w:val="808"/>
        </w:trPr>
        <w:tc>
          <w:tcPr>
            <w:tcW w:w="5200" w:type="dxa"/>
            <w:vMerge/>
            <w:tcBorders>
              <w:top w:val="nil"/>
              <w:left w:val="nil"/>
              <w:bottom w:val="single" w:sz="8" w:space="0" w:color="215968"/>
              <w:right w:val="single" w:sz="8" w:space="0" w:color="FFFFFF"/>
            </w:tcBorders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215968"/>
              <w:right w:val="single" w:sz="8" w:space="0" w:color="FFFFFF"/>
            </w:tcBorders>
            <w:shd w:val="clear" w:color="000000" w:fill="457686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</w:pPr>
            <w:r w:rsidRPr="009F2736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  <w:t>HR/Payroll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FFFFFF"/>
            </w:tcBorders>
            <w:shd w:val="clear" w:color="000000" w:fill="457686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</w:pPr>
            <w:r w:rsidRPr="009F2736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  <w:t>Student Information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FFFFFF"/>
            </w:tcBorders>
            <w:shd w:val="clear" w:color="000000" w:fill="457686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</w:pPr>
            <w:r w:rsidRPr="009F2736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  <w:t>Finance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457686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</w:pPr>
            <w:r w:rsidRPr="009F2736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  <w:t>Procurement Purchasing</w:t>
            </w:r>
          </w:p>
        </w:tc>
      </w:tr>
      <w:tr w:rsidR="00241EA4" w:rsidRPr="00241EA4" w:rsidTr="009F2736">
        <w:trPr>
          <w:trHeight w:val="320"/>
        </w:trPr>
        <w:tc>
          <w:tcPr>
            <w:tcW w:w="5200" w:type="dxa"/>
            <w:tcBorders>
              <w:top w:val="nil"/>
              <w:left w:val="single" w:sz="8" w:space="0" w:color="215968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 xml:space="preserve"> UofA at Fayetteville  (UAF)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BASIS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PeopleSoft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BASIS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BASIS</w:t>
            </w:r>
          </w:p>
        </w:tc>
      </w:tr>
      <w:tr w:rsidR="00241EA4" w:rsidRPr="00241EA4" w:rsidTr="009F2736">
        <w:trPr>
          <w:trHeight w:val="320"/>
        </w:trPr>
        <w:tc>
          <w:tcPr>
            <w:tcW w:w="5200" w:type="dxa"/>
            <w:tcBorders>
              <w:top w:val="nil"/>
              <w:left w:val="single" w:sz="8" w:space="0" w:color="215968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 xml:space="preserve"> UofA at Little Rock (UALR)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Banner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Banner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Banner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Banner</w:t>
            </w:r>
          </w:p>
        </w:tc>
      </w:tr>
      <w:tr w:rsidR="00241EA4" w:rsidRPr="00241EA4" w:rsidTr="009F2736">
        <w:trPr>
          <w:trHeight w:val="320"/>
        </w:trPr>
        <w:tc>
          <w:tcPr>
            <w:tcW w:w="5200" w:type="dxa"/>
            <w:tcBorders>
              <w:top w:val="nil"/>
              <w:left w:val="single" w:sz="8" w:space="0" w:color="215968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 xml:space="preserve"> UofA at Fort Smith  (UAFS)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Banner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Banner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Banner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Banner</w:t>
            </w:r>
          </w:p>
        </w:tc>
      </w:tr>
      <w:tr w:rsidR="00241EA4" w:rsidRPr="00241EA4" w:rsidTr="009F2736">
        <w:trPr>
          <w:trHeight w:val="320"/>
        </w:trPr>
        <w:tc>
          <w:tcPr>
            <w:tcW w:w="5200" w:type="dxa"/>
            <w:tcBorders>
              <w:top w:val="nil"/>
              <w:left w:val="single" w:sz="8" w:space="0" w:color="215968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 xml:space="preserve"> UofA at Monticello  (UAM)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PeopleSoft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PeopleSoft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PeopleSoft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PeopleSoft</w:t>
            </w:r>
          </w:p>
        </w:tc>
      </w:tr>
      <w:tr w:rsidR="00241EA4" w:rsidRPr="00241EA4" w:rsidTr="009F2736">
        <w:trPr>
          <w:trHeight w:val="320"/>
        </w:trPr>
        <w:tc>
          <w:tcPr>
            <w:tcW w:w="5200" w:type="dxa"/>
            <w:tcBorders>
              <w:top w:val="nil"/>
              <w:left w:val="single" w:sz="8" w:space="0" w:color="215968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 xml:space="preserve"> UofA at Pine Bluff (UAPB)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Colleague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Colleague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Colleague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Colleague</w:t>
            </w:r>
          </w:p>
        </w:tc>
      </w:tr>
      <w:tr w:rsidR="00241EA4" w:rsidRPr="00241EA4" w:rsidTr="009F2736">
        <w:trPr>
          <w:trHeight w:val="320"/>
        </w:trPr>
        <w:tc>
          <w:tcPr>
            <w:tcW w:w="5200" w:type="dxa"/>
            <w:tcBorders>
              <w:top w:val="nil"/>
              <w:left w:val="single" w:sz="8" w:space="0" w:color="215968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 xml:space="preserve"> UofA Community College at Hope (UACCH)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POISE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POISE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POISE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POISE</w:t>
            </w:r>
          </w:p>
        </w:tc>
      </w:tr>
      <w:tr w:rsidR="00241EA4" w:rsidRPr="00241EA4" w:rsidTr="009F2736">
        <w:trPr>
          <w:trHeight w:val="320"/>
        </w:trPr>
        <w:tc>
          <w:tcPr>
            <w:tcW w:w="5200" w:type="dxa"/>
            <w:tcBorders>
              <w:top w:val="nil"/>
              <w:left w:val="single" w:sz="8" w:space="0" w:color="215968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 xml:space="preserve"> UofA Community College at Morrilton (UACCM)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POISE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POISE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POISE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POISE</w:t>
            </w:r>
          </w:p>
        </w:tc>
      </w:tr>
      <w:tr w:rsidR="00241EA4" w:rsidRPr="00241EA4" w:rsidTr="009F2736">
        <w:trPr>
          <w:trHeight w:val="320"/>
        </w:trPr>
        <w:tc>
          <w:tcPr>
            <w:tcW w:w="5200" w:type="dxa"/>
            <w:tcBorders>
              <w:top w:val="nil"/>
              <w:left w:val="single" w:sz="8" w:space="0" w:color="215968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 xml:space="preserve"> UofA Community College at Batesville (UACCB)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Colleague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Colleague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Colleague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Colleague</w:t>
            </w:r>
          </w:p>
        </w:tc>
      </w:tr>
      <w:tr w:rsidR="00241EA4" w:rsidRPr="00241EA4" w:rsidTr="009F2736">
        <w:trPr>
          <w:trHeight w:val="320"/>
        </w:trPr>
        <w:tc>
          <w:tcPr>
            <w:tcW w:w="5200" w:type="dxa"/>
            <w:tcBorders>
              <w:top w:val="nil"/>
              <w:left w:val="single" w:sz="8" w:space="0" w:color="215968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 xml:space="preserve"> Cossatot Community College UofA (CCCUA)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POISE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POISE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POISE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POISE</w:t>
            </w:r>
          </w:p>
        </w:tc>
      </w:tr>
      <w:tr w:rsidR="00241EA4" w:rsidRPr="00241EA4" w:rsidTr="009F2736">
        <w:trPr>
          <w:trHeight w:val="320"/>
        </w:trPr>
        <w:tc>
          <w:tcPr>
            <w:tcW w:w="5200" w:type="dxa"/>
            <w:tcBorders>
              <w:top w:val="nil"/>
              <w:left w:val="single" w:sz="8" w:space="0" w:color="215968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 xml:space="preserve"> Phillips Community College UofA (PCCUA)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Colleague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Colleague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Colleague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Colleague</w:t>
            </w:r>
          </w:p>
        </w:tc>
      </w:tr>
      <w:tr w:rsidR="00241EA4" w:rsidRPr="00241EA4" w:rsidTr="009F2736">
        <w:trPr>
          <w:trHeight w:val="320"/>
        </w:trPr>
        <w:tc>
          <w:tcPr>
            <w:tcW w:w="5200" w:type="dxa"/>
            <w:tcBorders>
              <w:top w:val="nil"/>
              <w:left w:val="single" w:sz="8" w:space="0" w:color="215968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 xml:space="preserve"> UofA for Medical Sciences (UAMS)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SAP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PeopleSoft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SAP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SAP</w:t>
            </w:r>
          </w:p>
        </w:tc>
      </w:tr>
      <w:tr w:rsidR="00241EA4" w:rsidRPr="00241EA4" w:rsidTr="009F2736">
        <w:trPr>
          <w:trHeight w:val="320"/>
        </w:trPr>
        <w:tc>
          <w:tcPr>
            <w:tcW w:w="5200" w:type="dxa"/>
            <w:tcBorders>
              <w:top w:val="nil"/>
              <w:left w:val="single" w:sz="8" w:space="0" w:color="215968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 xml:space="preserve"> UofA eVersity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BASIS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Banner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BASIS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E9ECED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616"/>
              </w:rPr>
            </w:pPr>
            <w:r w:rsidRPr="009F2736">
              <w:rPr>
                <w:rFonts w:eastAsia="Times New Roman" w:cstheme="minorHAnsi"/>
                <w:b/>
                <w:bCs/>
                <w:color w:val="161616"/>
              </w:rPr>
              <w:t>BASIS</w:t>
            </w:r>
          </w:p>
        </w:tc>
      </w:tr>
      <w:tr w:rsidR="00241EA4" w:rsidRPr="00241EA4" w:rsidTr="009F2736">
        <w:trPr>
          <w:trHeight w:val="320"/>
        </w:trPr>
        <w:tc>
          <w:tcPr>
            <w:tcW w:w="5200" w:type="dxa"/>
            <w:tcBorders>
              <w:top w:val="nil"/>
              <w:left w:val="single" w:sz="8" w:space="0" w:color="215968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rPr>
                <w:rFonts w:eastAsia="Times New Roman" w:cstheme="minorHAnsi"/>
                <w:b/>
                <w:bCs/>
                <w:color w:val="003300"/>
              </w:rPr>
            </w:pPr>
            <w:r w:rsidRPr="009F2736">
              <w:rPr>
                <w:rFonts w:eastAsia="Times New Roman" w:cstheme="minorHAnsi"/>
                <w:b/>
                <w:bCs/>
                <w:color w:val="003300"/>
              </w:rPr>
              <w:t xml:space="preserve"> UofA Division of Agriculture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00"/>
              </w:rPr>
            </w:pPr>
            <w:r w:rsidRPr="009F2736">
              <w:rPr>
                <w:rFonts w:eastAsia="Times New Roman" w:cstheme="minorHAnsi"/>
                <w:b/>
                <w:bCs/>
                <w:color w:val="003300"/>
              </w:rPr>
              <w:t>Banner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00"/>
              </w:rPr>
            </w:pPr>
            <w:r w:rsidRPr="009F2736">
              <w:rPr>
                <w:rFonts w:eastAsia="Times New Roman" w:cstheme="minorHAnsi"/>
                <w:b/>
                <w:bCs/>
                <w:color w:val="003300"/>
              </w:rPr>
              <w:t>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00"/>
              </w:rPr>
            </w:pPr>
            <w:r w:rsidRPr="009F2736">
              <w:rPr>
                <w:rFonts w:eastAsia="Times New Roman" w:cstheme="minorHAnsi"/>
                <w:b/>
                <w:bCs/>
                <w:color w:val="003300"/>
              </w:rPr>
              <w:t>Banner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15968"/>
              <w:right w:val="single" w:sz="8" w:space="0" w:color="215968"/>
            </w:tcBorders>
            <w:shd w:val="clear" w:color="000000" w:fill="CFD6D9"/>
            <w:vAlign w:val="center"/>
            <w:hideMark/>
          </w:tcPr>
          <w:p w:rsidR="00241EA4" w:rsidRPr="009F2736" w:rsidRDefault="00241EA4" w:rsidP="00241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00"/>
              </w:rPr>
            </w:pPr>
            <w:r w:rsidRPr="009F2736">
              <w:rPr>
                <w:rFonts w:eastAsia="Times New Roman" w:cstheme="minorHAnsi"/>
                <w:b/>
                <w:bCs/>
                <w:color w:val="003300"/>
              </w:rPr>
              <w:t>Banner</w:t>
            </w:r>
          </w:p>
        </w:tc>
      </w:tr>
    </w:tbl>
    <w:p w:rsidR="00241EA4" w:rsidRDefault="00241EA4" w:rsidP="00BF0341">
      <w:pPr>
        <w:pStyle w:val="BodyText"/>
        <w:ind w:left="0"/>
      </w:pPr>
    </w:p>
    <w:p w:rsidR="005551E9" w:rsidRDefault="005551E9" w:rsidP="00287226">
      <w:pPr>
        <w:pStyle w:val="BodyText"/>
        <w:ind w:left="360"/>
      </w:pPr>
    </w:p>
    <w:p w:rsidR="005551E9" w:rsidRDefault="005551E9">
      <w:pPr>
        <w:rPr>
          <w:rFonts w:ascii="Arial" w:eastAsia="Times New Roman" w:hAnsi="Arial" w:cs="Arial"/>
        </w:rPr>
      </w:pPr>
      <w:r>
        <w:br w:type="page"/>
      </w:r>
    </w:p>
    <w:tbl>
      <w:tblPr>
        <w:tblW w:w="12960" w:type="dxa"/>
        <w:tblInd w:w="530" w:type="dxa"/>
        <w:tblLayout w:type="fixed"/>
        <w:tblLook w:val="04A0" w:firstRow="1" w:lastRow="0" w:firstColumn="1" w:lastColumn="0" w:noHBand="0" w:noVBand="1"/>
      </w:tblPr>
      <w:tblGrid>
        <w:gridCol w:w="720"/>
        <w:gridCol w:w="8460"/>
        <w:gridCol w:w="1800"/>
        <w:gridCol w:w="1980"/>
      </w:tblGrid>
      <w:tr w:rsidR="00287226" w:rsidRPr="003C29D4" w:rsidTr="00287226">
        <w:trPr>
          <w:cantSplit/>
          <w:trHeight w:val="826"/>
          <w:tblHeader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87226" w:rsidRPr="004F7BCE" w:rsidRDefault="00287226" w:rsidP="00EC0377">
            <w:pPr>
              <w:spacing w:after="0" w:line="240" w:lineRule="auto"/>
              <w:ind w:left="-14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lastRenderedPageBreak/>
              <w:t>Item</w:t>
            </w:r>
          </w:p>
          <w:p w:rsidR="00287226" w:rsidRPr="004F7BCE" w:rsidRDefault="00287226" w:rsidP="00EC0377">
            <w:pPr>
              <w:spacing w:after="0" w:line="240" w:lineRule="auto"/>
              <w:ind w:left="-14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8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87226" w:rsidRPr="004F7BCE" w:rsidRDefault="00287226" w:rsidP="00EC0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Type of data to be converted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87226" w:rsidRPr="004F7BCE" w:rsidRDefault="00287226" w:rsidP="00EC0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Targeted Module(s) of the new system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87226" w:rsidRPr="004F7BCE" w:rsidRDefault="00287226" w:rsidP="00EC0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Timing of Conversion</w:t>
            </w:r>
          </w:p>
          <w:p w:rsidR="00287226" w:rsidRPr="004F7BCE" w:rsidRDefault="00287226" w:rsidP="00EC0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(Pre- Go Live, Go Live, Post Go Live) 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EC0377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Employee Data</w:t>
            </w: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(Employee ID, employee demographics, department information, pay information, job information, supervisor information,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EC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EC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Position Data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(Position ID, position description, position attributes, accounting information, labor distribution,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Job Data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(Job code, job title, description, job attributes, classification, salary information,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Leave Balances Data</w:t>
            </w: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(Employee ID, comp time, holiday leave, annual, sick, personal,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Training/Education/Certification Data</w:t>
            </w: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(Employee ID, training information, education-degree information licenses and certification information,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Benefits Data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(Employee ID, plan type, plan code, enrollment information, coverage options, dependent information,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Applicant Data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(Applicant ID, Applicant demographics, application dates, work history, referral information,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Deductions Data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(Employee ID, tax deductions, misc. deductions etc.)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PAYROLL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Labor Distribution Data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(Labor distribution code, description, account codes, effectivity, distribution percentage,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PAYROLL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Performance Data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(Employee ID, evaluation information, evaluator demographics, management approvals,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Employee Relations Data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(Employee ID, incident information, grievance information,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General Ledger &amp; Budget Controls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(Chart of accounts, account distribution, open journals, balance sheet account balances budget information,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Budget Development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(Account distribution, historical/current budget information,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Accounts Payable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(Vendor ID, vendor information, open invoices, </w:t>
            </w:r>
            <w:r w:rsidR="005B24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1099 balances </w:t>
            </w: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Accounts Receivable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(Customer ID, customer information, open receivables, billing profiles, etc.)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Cash Management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(Bank account, payment/cash receipt information, check registers investment information, CMIA information,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Cost Accounting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(Cost allocation design, indirect cost recovery information, cost account billing,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Asset Management</w:t>
            </w: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</w: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(Asset ID, asset information, depreciation schedule, maintenance and warranties,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Debt Management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(Debt ID, debt information, repayment funding source, capital leases, special obligation notes, bond accounting,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 w:themeFill="background1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 w:themeFill="background1"/>
              </w:rPr>
              <w:t>Grant Management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>(</w:t>
            </w: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Grant ID, grant information, awards, budget control, grant projects, billing,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 w:themeFill="background1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 w:themeFill="background1"/>
              </w:rPr>
              <w:t>Project Accounting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(Project ID, project information, budget control, billing, capitalization,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Catalogs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(Catalog ID, contract information, item information, pricing tiers,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PROCUREMENT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Commodities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(Commodity ID, commodity information, commodity hierarchy,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PROCUREMENT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Strategic Sourcing &amp; Contracts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(Solicitation ID, solicitation information, vendor responses, vendor selection and award, Contract ID, contract information,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PROCUREMENT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Inventory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(Warehouse hierarchy, inventory id, inventory information, physical inventory, reordering, inventory accounting,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PROCUREMENT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Requisition &amp; Purchase Orders</w:t>
            </w: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</w: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(Requisition ID, requisition information, open requisitions, Purchase Order ID, PO information, open PO,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PROCUREMENT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Vendor Management</w:t>
            </w: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</w: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(Vendor ID, vendor demographics, payment profile, tax reporting, performance,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PROCUREMENT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Student Recruiting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(Current/Active Prospect ID, prospect information, recruiter information, recruitment details, event management</w:t>
            </w:r>
            <w:r w:rsidR="00555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etc.</w:t>
            </w: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Admissions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(Current/Active Applicant/Student ID, application details, admissions information, test scores, external education</w:t>
            </w:r>
            <w:r w:rsidR="00555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etc.</w:t>
            </w: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Financial Aid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(Current/Active and On Leave of Absence Student ID, federal, state, and institutional financial aid awards, scholarship and external awards, loan data, parent/guardian information disbursement data, eligibility tracking</w:t>
            </w:r>
            <w:r w:rsidR="00555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etc.</w:t>
            </w: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Student Records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(Current/Active and On Leave of Absence Student ID, biographical information, academic information, enrollment data (academic and non-academic), advisor(s), internships, assistantships, clinical rotations, study abroad, committee members, holds, external degrees, external transcripts, transfer credit</w:t>
            </w:r>
            <w:r w:rsidR="00555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etc.</w:t>
            </w: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Academic Advising and Degree Audit 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Requirements (Degree, course, graduation), committee assignments, advisor data, course substitutions, exceptions</w:t>
            </w:r>
            <w:r w:rsidR="00555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etc.</w:t>
            </w: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Student Services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(Current/Active Student ID, services information – parking, career, health, sports, housing, judicial (disciplinary action), extracurricular volunteer activity</w:t>
            </w:r>
            <w:r w:rsidR="00555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etc.</w:t>
            </w: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Student Accounts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(Current/Active Student ID, tuition/fee information, payments, charges, refunds, tuition adjustments, 3</w:t>
            </w: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rd</w:t>
            </w: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Party payors, write offs, garnishments</w:t>
            </w:r>
            <w:r w:rsidR="00555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etc.</w:t>
            </w: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  <w:tr w:rsidR="00287226" w:rsidRPr="003C29D4" w:rsidTr="00287226">
        <w:trPr>
          <w:cantSplit/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tabs>
                <w:tab w:val="left" w:pos="162"/>
              </w:tabs>
              <w:spacing w:after="0" w:line="240" w:lineRule="auto"/>
              <w:ind w:left="252" w:hanging="1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Academic Structure </w:t>
            </w:r>
          </w:p>
          <w:p w:rsidR="00287226" w:rsidRPr="004F7BCE" w:rsidRDefault="00287226" w:rsidP="009F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(Courses, Classes, Requirements, Course Equivalencies, Terms (Semesters), Sessions, Calendars, Programs/Plans, Degrees, Majors/Minors, Repeat Rules, Grading Bases, student status, student attributes, holds and priority given, disability data, international student info, residency</w:t>
            </w:r>
            <w:r w:rsidR="00555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etc.</w:t>
            </w: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26" w:rsidRPr="004F7BCE" w:rsidRDefault="00287226" w:rsidP="004F7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7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Live</w:t>
            </w:r>
          </w:p>
        </w:tc>
      </w:tr>
    </w:tbl>
    <w:p w:rsidR="003C4652" w:rsidRDefault="003C4652" w:rsidP="003C4652">
      <w:pPr>
        <w:pStyle w:val="BodyText"/>
        <w:ind w:left="360"/>
      </w:pPr>
    </w:p>
    <w:p w:rsidR="0068240A" w:rsidRDefault="0068240A" w:rsidP="00A45D37">
      <w:pPr>
        <w:widowControl w:val="0"/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240"/>
        <w:ind w:left="630"/>
        <w:rPr>
          <w:rFonts w:ascii="Arial" w:hAnsi="Arial"/>
          <w:color w:val="000000"/>
        </w:rPr>
      </w:pPr>
    </w:p>
    <w:p w:rsidR="00B717AE" w:rsidRPr="00727286" w:rsidRDefault="00B717AE" w:rsidP="00A45D37">
      <w:pPr>
        <w:rPr>
          <w:sz w:val="18"/>
          <w:szCs w:val="20"/>
        </w:rPr>
      </w:pPr>
    </w:p>
    <w:sectPr w:rsidR="00B717AE" w:rsidRPr="00727286" w:rsidSect="003C4652">
      <w:headerReference w:type="default" r:id="rId10"/>
      <w:footerReference w:type="default" r:id="rId11"/>
      <w:pgSz w:w="15840" w:h="12240" w:orient="landscape" w:code="1"/>
      <w:pgMar w:top="1620" w:right="108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77B" w:rsidRDefault="007D077B" w:rsidP="009064B1">
      <w:pPr>
        <w:spacing w:after="0" w:line="240" w:lineRule="auto"/>
      </w:pPr>
      <w:r>
        <w:separator/>
      </w:r>
    </w:p>
  </w:endnote>
  <w:endnote w:type="continuationSeparator" w:id="0">
    <w:p w:rsidR="007D077B" w:rsidRDefault="007D077B" w:rsidP="0090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6358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5D37" w:rsidRPr="00500762" w:rsidRDefault="00500762" w:rsidP="00500762">
        <w:pPr>
          <w:pStyle w:val="Footer"/>
          <w:tabs>
            <w:tab w:val="clear" w:pos="4680"/>
            <w:tab w:val="center" w:pos="6210"/>
          </w:tabs>
          <w:ind w:firstLine="5760"/>
        </w:pPr>
        <w:r w:rsidRPr="00500762">
          <w:t xml:space="preserve">Page </w:t>
        </w:r>
        <w:r w:rsidRPr="00500762">
          <w:rPr>
            <w:bCs/>
          </w:rPr>
          <w:fldChar w:fldCharType="begin"/>
        </w:r>
        <w:r w:rsidRPr="00500762">
          <w:rPr>
            <w:bCs/>
          </w:rPr>
          <w:instrText xml:space="preserve"> PAGE  \* Arabic  \* MERGEFORMAT </w:instrText>
        </w:r>
        <w:r w:rsidRPr="00500762">
          <w:rPr>
            <w:bCs/>
          </w:rPr>
          <w:fldChar w:fldCharType="separate"/>
        </w:r>
        <w:r w:rsidR="001C38DD">
          <w:rPr>
            <w:bCs/>
            <w:noProof/>
          </w:rPr>
          <w:t>2</w:t>
        </w:r>
        <w:r w:rsidRPr="00500762">
          <w:rPr>
            <w:bCs/>
          </w:rPr>
          <w:fldChar w:fldCharType="end"/>
        </w:r>
        <w:r w:rsidRPr="00500762">
          <w:t xml:space="preserve"> of </w:t>
        </w:r>
        <w:r w:rsidRPr="00500762">
          <w:rPr>
            <w:bCs/>
          </w:rPr>
          <w:fldChar w:fldCharType="begin"/>
        </w:r>
        <w:r w:rsidRPr="00500762">
          <w:rPr>
            <w:bCs/>
          </w:rPr>
          <w:instrText xml:space="preserve"> NUMPAGES  \* Arabic  \* MERGEFORMAT </w:instrText>
        </w:r>
        <w:r w:rsidRPr="00500762">
          <w:rPr>
            <w:bCs/>
          </w:rPr>
          <w:fldChar w:fldCharType="separate"/>
        </w:r>
        <w:r w:rsidR="001C38DD">
          <w:rPr>
            <w:bCs/>
            <w:noProof/>
          </w:rPr>
          <w:t>4</w:t>
        </w:r>
        <w:r w:rsidRPr="00500762">
          <w:rPr>
            <w:bCs/>
          </w:rPr>
          <w:fldChar w:fldCharType="end"/>
        </w:r>
      </w:p>
    </w:sdtContent>
  </w:sdt>
  <w:p w:rsidR="00A45D37" w:rsidRDefault="00A45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77B" w:rsidRDefault="007D077B" w:rsidP="009064B1">
      <w:pPr>
        <w:spacing w:after="0" w:line="240" w:lineRule="auto"/>
      </w:pPr>
      <w:r>
        <w:separator/>
      </w:r>
    </w:p>
  </w:footnote>
  <w:footnote w:type="continuationSeparator" w:id="0">
    <w:p w:rsidR="007D077B" w:rsidRDefault="007D077B" w:rsidP="0090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762" w:rsidRPr="00B9003D" w:rsidRDefault="00500762" w:rsidP="00500762">
    <w:pPr>
      <w:pStyle w:val="Header"/>
      <w:ind w:left="450"/>
      <w:jc w:val="right"/>
      <w:rPr>
        <w:rFonts w:ascii="Arial" w:hAnsi="Arial" w:cs="Arial"/>
        <w:b/>
      </w:rPr>
    </w:pPr>
    <w:r w:rsidRPr="00B9003D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70E15553" wp14:editId="0F93448C">
          <wp:simplePos x="0" y="0"/>
          <wp:positionH relativeFrom="margin">
            <wp:posOffset>38100</wp:posOffset>
          </wp:positionH>
          <wp:positionV relativeFrom="margin">
            <wp:posOffset>-654685</wp:posOffset>
          </wp:positionV>
          <wp:extent cx="1841108" cy="54229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of Arkansas Syste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10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003D">
      <w:rPr>
        <w:rFonts w:ascii="Arial" w:hAnsi="Arial" w:cs="Arial"/>
        <w:b/>
      </w:rPr>
      <w:t xml:space="preserve">RFP </w:t>
    </w:r>
    <w:r w:rsidRPr="00CA3DA7">
      <w:rPr>
        <w:rFonts w:ascii="Arial" w:hAnsi="Arial" w:cs="Arial"/>
        <w:b/>
      </w:rPr>
      <w:t>R654331</w:t>
    </w:r>
    <w:r>
      <w:rPr>
        <w:rFonts w:ascii="Arial" w:hAnsi="Arial" w:cs="Arial"/>
        <w:b/>
      </w:rPr>
      <w:t>, ERP Implementation Services</w:t>
    </w:r>
  </w:p>
  <w:p w:rsidR="00500762" w:rsidRPr="00B9003D" w:rsidRDefault="00500762" w:rsidP="00500762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Appendix 5: Current Conversions</w:t>
    </w:r>
  </w:p>
  <w:p w:rsidR="00A45D37" w:rsidRPr="003C4652" w:rsidRDefault="00A45D37" w:rsidP="00500762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8A2"/>
    <w:multiLevelType w:val="hybridMultilevel"/>
    <w:tmpl w:val="8F78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6FA8"/>
    <w:multiLevelType w:val="hybridMultilevel"/>
    <w:tmpl w:val="8F78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771F"/>
    <w:multiLevelType w:val="hybridMultilevel"/>
    <w:tmpl w:val="8F78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4F34"/>
    <w:multiLevelType w:val="hybridMultilevel"/>
    <w:tmpl w:val="9138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6EB"/>
    <w:multiLevelType w:val="hybridMultilevel"/>
    <w:tmpl w:val="7ABC1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F4F4B"/>
    <w:multiLevelType w:val="hybridMultilevel"/>
    <w:tmpl w:val="8F78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7F26"/>
    <w:multiLevelType w:val="hybridMultilevel"/>
    <w:tmpl w:val="8F78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A38AD"/>
    <w:multiLevelType w:val="hybridMultilevel"/>
    <w:tmpl w:val="07F47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45B84"/>
    <w:multiLevelType w:val="hybridMultilevel"/>
    <w:tmpl w:val="3EB8620C"/>
    <w:lvl w:ilvl="0" w:tplc="FFFFFFFF">
      <w:start w:val="1"/>
      <w:numFmt w:val="bullet"/>
      <w:pStyle w:val="BulletDiamond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80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CE341C6"/>
    <w:multiLevelType w:val="hybridMultilevel"/>
    <w:tmpl w:val="0B7CD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23E35"/>
    <w:multiLevelType w:val="hybridMultilevel"/>
    <w:tmpl w:val="608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255D3"/>
    <w:multiLevelType w:val="hybridMultilevel"/>
    <w:tmpl w:val="7D1E7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32F"/>
    <w:rsid w:val="00033A5D"/>
    <w:rsid w:val="0004153F"/>
    <w:rsid w:val="00052254"/>
    <w:rsid w:val="00053649"/>
    <w:rsid w:val="00062B54"/>
    <w:rsid w:val="00094714"/>
    <w:rsid w:val="000C1D81"/>
    <w:rsid w:val="000D05D5"/>
    <w:rsid w:val="000E3806"/>
    <w:rsid w:val="00107557"/>
    <w:rsid w:val="0010780F"/>
    <w:rsid w:val="0011054A"/>
    <w:rsid w:val="001115E7"/>
    <w:rsid w:val="00131DC1"/>
    <w:rsid w:val="0014433B"/>
    <w:rsid w:val="0014610C"/>
    <w:rsid w:val="00146381"/>
    <w:rsid w:val="00147829"/>
    <w:rsid w:val="00150D43"/>
    <w:rsid w:val="001563D2"/>
    <w:rsid w:val="00170123"/>
    <w:rsid w:val="001A4D88"/>
    <w:rsid w:val="001B6E55"/>
    <w:rsid w:val="001C2DE2"/>
    <w:rsid w:val="001C38DD"/>
    <w:rsid w:val="001D2661"/>
    <w:rsid w:val="001E331B"/>
    <w:rsid w:val="001E55D6"/>
    <w:rsid w:val="001F2F06"/>
    <w:rsid w:val="001F7478"/>
    <w:rsid w:val="00205F15"/>
    <w:rsid w:val="0022430A"/>
    <w:rsid w:val="00225C0B"/>
    <w:rsid w:val="00241EA4"/>
    <w:rsid w:val="00255C2F"/>
    <w:rsid w:val="0026218B"/>
    <w:rsid w:val="00267239"/>
    <w:rsid w:val="00277B19"/>
    <w:rsid w:val="00287226"/>
    <w:rsid w:val="002A2FEB"/>
    <w:rsid w:val="002A35D7"/>
    <w:rsid w:val="002D455A"/>
    <w:rsid w:val="00342FB0"/>
    <w:rsid w:val="003441DF"/>
    <w:rsid w:val="00366868"/>
    <w:rsid w:val="003A5491"/>
    <w:rsid w:val="003B6859"/>
    <w:rsid w:val="003C4652"/>
    <w:rsid w:val="003D6CE8"/>
    <w:rsid w:val="00401B31"/>
    <w:rsid w:val="00406250"/>
    <w:rsid w:val="00406EE8"/>
    <w:rsid w:val="0048082D"/>
    <w:rsid w:val="004C60E0"/>
    <w:rsid w:val="004D25F4"/>
    <w:rsid w:val="004F6170"/>
    <w:rsid w:val="004F7BCE"/>
    <w:rsid w:val="00500762"/>
    <w:rsid w:val="00506C58"/>
    <w:rsid w:val="00541FDC"/>
    <w:rsid w:val="00550A61"/>
    <w:rsid w:val="005551E9"/>
    <w:rsid w:val="00556C0C"/>
    <w:rsid w:val="005B2413"/>
    <w:rsid w:val="005D1C39"/>
    <w:rsid w:val="005F0EC6"/>
    <w:rsid w:val="005F67B7"/>
    <w:rsid w:val="00611AD5"/>
    <w:rsid w:val="006128EA"/>
    <w:rsid w:val="00633CCF"/>
    <w:rsid w:val="006705C4"/>
    <w:rsid w:val="00670892"/>
    <w:rsid w:val="0068240A"/>
    <w:rsid w:val="006A06F8"/>
    <w:rsid w:val="006F40D8"/>
    <w:rsid w:val="006F4FE7"/>
    <w:rsid w:val="00727286"/>
    <w:rsid w:val="00730E0E"/>
    <w:rsid w:val="00772BBD"/>
    <w:rsid w:val="00794E13"/>
    <w:rsid w:val="007D077B"/>
    <w:rsid w:val="007D172E"/>
    <w:rsid w:val="007D5A2B"/>
    <w:rsid w:val="00867731"/>
    <w:rsid w:val="00902307"/>
    <w:rsid w:val="009064B1"/>
    <w:rsid w:val="00922AB6"/>
    <w:rsid w:val="009268AA"/>
    <w:rsid w:val="00955689"/>
    <w:rsid w:val="00964E8D"/>
    <w:rsid w:val="00971F65"/>
    <w:rsid w:val="00980F86"/>
    <w:rsid w:val="00983AD7"/>
    <w:rsid w:val="00997324"/>
    <w:rsid w:val="009A2AFF"/>
    <w:rsid w:val="009A38E7"/>
    <w:rsid w:val="009D1A81"/>
    <w:rsid w:val="009E3E20"/>
    <w:rsid w:val="009F10FC"/>
    <w:rsid w:val="009F2736"/>
    <w:rsid w:val="00A01A72"/>
    <w:rsid w:val="00A41E86"/>
    <w:rsid w:val="00A45D37"/>
    <w:rsid w:val="00A56923"/>
    <w:rsid w:val="00A7421C"/>
    <w:rsid w:val="00A77C85"/>
    <w:rsid w:val="00A838F9"/>
    <w:rsid w:val="00AA62B1"/>
    <w:rsid w:val="00AB3691"/>
    <w:rsid w:val="00AB44C6"/>
    <w:rsid w:val="00AD11A6"/>
    <w:rsid w:val="00AF0B54"/>
    <w:rsid w:val="00AF2BFA"/>
    <w:rsid w:val="00B030C2"/>
    <w:rsid w:val="00B137DA"/>
    <w:rsid w:val="00B14F17"/>
    <w:rsid w:val="00B209AD"/>
    <w:rsid w:val="00B25EC7"/>
    <w:rsid w:val="00B25FA9"/>
    <w:rsid w:val="00B471C1"/>
    <w:rsid w:val="00B55D9B"/>
    <w:rsid w:val="00B717AE"/>
    <w:rsid w:val="00B8060A"/>
    <w:rsid w:val="00BC64F0"/>
    <w:rsid w:val="00BD54AA"/>
    <w:rsid w:val="00BF0341"/>
    <w:rsid w:val="00C4459C"/>
    <w:rsid w:val="00C822D0"/>
    <w:rsid w:val="00D04EC0"/>
    <w:rsid w:val="00D44D4F"/>
    <w:rsid w:val="00D62E9A"/>
    <w:rsid w:val="00D82D5B"/>
    <w:rsid w:val="00DA492C"/>
    <w:rsid w:val="00DB52EF"/>
    <w:rsid w:val="00DB6129"/>
    <w:rsid w:val="00DC4338"/>
    <w:rsid w:val="00DD05D6"/>
    <w:rsid w:val="00DD154E"/>
    <w:rsid w:val="00DE102B"/>
    <w:rsid w:val="00E05B60"/>
    <w:rsid w:val="00E32E0D"/>
    <w:rsid w:val="00E32FC3"/>
    <w:rsid w:val="00E44F5C"/>
    <w:rsid w:val="00E51F6D"/>
    <w:rsid w:val="00E724E5"/>
    <w:rsid w:val="00E9532F"/>
    <w:rsid w:val="00E96984"/>
    <w:rsid w:val="00EA0094"/>
    <w:rsid w:val="00EA4B04"/>
    <w:rsid w:val="00EB3F0F"/>
    <w:rsid w:val="00EB7FC0"/>
    <w:rsid w:val="00EC0233"/>
    <w:rsid w:val="00EC5ABB"/>
    <w:rsid w:val="00EE7DFF"/>
    <w:rsid w:val="00EF348C"/>
    <w:rsid w:val="00F3580B"/>
    <w:rsid w:val="00F3668E"/>
    <w:rsid w:val="00F46C72"/>
    <w:rsid w:val="00F6151E"/>
    <w:rsid w:val="00F64705"/>
    <w:rsid w:val="00FA75C9"/>
    <w:rsid w:val="00FF36FF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92FC97-3F32-459A-8F89-07B3A70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B1"/>
  </w:style>
  <w:style w:type="paragraph" w:styleId="Footer">
    <w:name w:val="footer"/>
    <w:basedOn w:val="Normal"/>
    <w:link w:val="FooterChar"/>
    <w:uiPriority w:val="99"/>
    <w:unhideWhenUsed/>
    <w:rsid w:val="0090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B1"/>
  </w:style>
  <w:style w:type="paragraph" w:styleId="BalloonText">
    <w:name w:val="Balloon Text"/>
    <w:basedOn w:val="Normal"/>
    <w:link w:val="BalloonTextChar"/>
    <w:uiPriority w:val="99"/>
    <w:semiHidden/>
    <w:unhideWhenUsed/>
    <w:rsid w:val="0017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7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DFF"/>
    <w:pPr>
      <w:spacing w:after="0" w:line="240" w:lineRule="auto"/>
    </w:pPr>
  </w:style>
  <w:style w:type="paragraph" w:styleId="BodyText">
    <w:name w:val="Body Text"/>
    <w:aliases w:val="heading3,bt,body text,3 indent,heading31,body text1,3 indent1,heading32,body text2,3 indent2,heading33,body text3,3 indent3,heading34,body text4,3 indent4,Resume Text,Starbucks Body Text,NCDOT Body Text,RFP,NoticeText-List,Text1,Bodytext,t"/>
    <w:basedOn w:val="Normal"/>
    <w:link w:val="BodyTextChar"/>
    <w:semiHidden/>
    <w:rsid w:val="00B25FA9"/>
    <w:pPr>
      <w:spacing w:after="120" w:line="240" w:lineRule="auto"/>
      <w:ind w:left="720"/>
    </w:pPr>
    <w:rPr>
      <w:rFonts w:ascii="Arial" w:eastAsia="Times New Roman" w:hAnsi="Arial" w:cs="Arial"/>
    </w:rPr>
  </w:style>
  <w:style w:type="character" w:customStyle="1" w:styleId="BodyTextChar">
    <w:name w:val="Body Text Char"/>
    <w:aliases w:val="heading3 Char,bt Char,body text Char,3 indent Char,heading31 Char,body text1 Char,3 indent1 Char,heading32 Char,body text2 Char,3 indent2 Char,heading33 Char,body text3 Char,3 indent3 Char,heading34 Char,body text4 Char,3 indent4 Char"/>
    <w:basedOn w:val="DefaultParagraphFont"/>
    <w:link w:val="BodyText"/>
    <w:semiHidden/>
    <w:rsid w:val="00B25FA9"/>
    <w:rPr>
      <w:rFonts w:ascii="Arial" w:eastAsia="Times New Roman" w:hAnsi="Arial" w:cs="Arial"/>
    </w:rPr>
  </w:style>
  <w:style w:type="paragraph" w:customStyle="1" w:styleId="BulletDiamond">
    <w:name w:val="Bullet Diamond"/>
    <w:basedOn w:val="Normal"/>
    <w:rsid w:val="00B25FA9"/>
    <w:pPr>
      <w:numPr>
        <w:numId w:val="6"/>
      </w:numPr>
      <w:autoSpaceDE w:val="0"/>
      <w:autoSpaceDN w:val="0"/>
      <w:adjustRightInd w:val="0"/>
      <w:spacing w:before="60" w:after="120" w:line="240" w:lineRule="auto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CCB67896CF14AAFB40C03C3AF740D" ma:contentTypeVersion="1" ma:contentTypeDescription="Create a new document." ma:contentTypeScope="" ma:versionID="318dfa252031eac811b436d27fe139c1">
  <xsd:schema xmlns:xsd="http://www.w3.org/2001/XMLSchema" xmlns:xs="http://www.w3.org/2001/XMLSchema" xmlns:p="http://schemas.microsoft.com/office/2006/metadata/properties" xmlns:ns2="3a58a273-6f2c-4c28-924f-b71f0a3e5ea0" targetNamespace="http://schemas.microsoft.com/office/2006/metadata/properties" ma:root="true" ma:fieldsID="3a97005dddae5d3b75b410e6a4ead070" ns2:_="">
    <xsd:import namespace="3a58a273-6f2c-4c28-924f-b71f0a3e5ea0"/>
    <xsd:element name="properties">
      <xsd:complexType>
        <xsd:sequence>
          <xsd:element name="documentManagement">
            <xsd:complexType>
              <xsd:all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a273-6f2c-4c28-924f-b71f0a3e5ea0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nillable="true" ma:displayName="Meeting Date" ma:internalName="Meeting_x0020_Date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3a58a273-6f2c-4c28-924f-b71f0a3e5ea0" xsi:nil="true"/>
  </documentManagement>
</p:properties>
</file>

<file path=customXml/itemProps1.xml><?xml version="1.0" encoding="utf-8"?>
<ds:datastoreItem xmlns:ds="http://schemas.openxmlformats.org/officeDocument/2006/customXml" ds:itemID="{A40E6534-8B45-4C0B-A1DC-DCB345CEB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8a273-6f2c-4c28-924f-b71f0a3e5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BC61B-876F-4E50-B782-458746DC0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E1EC0-616D-4A72-B567-21E2970F97DE}">
  <ds:schemaRefs>
    <ds:schemaRef ds:uri="http://schemas.microsoft.com/office/2006/metadata/properties"/>
    <ds:schemaRef ds:uri="http://purl.org/dc/terms/"/>
    <ds:schemaRef ds:uri="http://www.w3.org/XML/1998/namespace"/>
    <ds:schemaRef ds:uri="3a58a273-6f2c-4c28-924f-b71f0a3e5ea0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Partners International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Teal</dc:creator>
  <cp:keywords/>
  <dc:description/>
  <cp:lastModifiedBy>Linda Kaye Fast</cp:lastModifiedBy>
  <cp:revision>2</cp:revision>
  <cp:lastPrinted>2017-10-03T14:09:00Z</cp:lastPrinted>
  <dcterms:created xsi:type="dcterms:W3CDTF">2017-11-01T14:49:00Z</dcterms:created>
  <dcterms:modified xsi:type="dcterms:W3CDTF">2017-11-01T14:49:00Z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0x010100AB7CCB67896CF14AAFB40C03C3AF740D</vt:lpwstr>
  </property>
</Properties>
</file>