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8D9" w:rsidRPr="00C828D9" w:rsidRDefault="00C828D9" w:rsidP="00C828D9">
      <w:pPr>
        <w:contextualSpacing/>
        <w:jc w:val="center"/>
        <w:rPr>
          <w:rFonts w:cs="Times New Roman"/>
          <w:b/>
          <w:sz w:val="32"/>
          <w:szCs w:val="32"/>
          <w:lang w:val="en"/>
        </w:rPr>
      </w:pPr>
      <w:bookmarkStart w:id="0" w:name="_GoBack"/>
      <w:bookmarkEnd w:id="0"/>
      <w:r w:rsidRPr="00C828D9">
        <w:rPr>
          <w:rFonts w:cs="Times New Roman"/>
          <w:b/>
          <w:sz w:val="32"/>
          <w:szCs w:val="32"/>
          <w:lang w:val="en"/>
        </w:rPr>
        <w:t>University of Arkansas System</w:t>
      </w:r>
    </w:p>
    <w:p w:rsidR="00865E9D" w:rsidRDefault="00916736" w:rsidP="00C828D9">
      <w:pPr>
        <w:contextualSpacing/>
        <w:jc w:val="center"/>
        <w:rPr>
          <w:rFonts w:cs="Times New Roman"/>
          <w:b/>
          <w:sz w:val="32"/>
          <w:szCs w:val="32"/>
          <w:lang w:val="en"/>
        </w:rPr>
      </w:pPr>
      <w:r w:rsidRPr="00C828D9">
        <w:rPr>
          <w:rFonts w:cs="Times New Roman"/>
          <w:b/>
          <w:sz w:val="32"/>
          <w:szCs w:val="32"/>
          <w:lang w:val="en"/>
        </w:rPr>
        <w:t>Investment Policy – Operating Funds</w:t>
      </w:r>
    </w:p>
    <w:p w:rsidR="00C828D9" w:rsidRPr="00C828D9" w:rsidRDefault="00C828D9" w:rsidP="00C828D9">
      <w:pPr>
        <w:contextualSpacing/>
        <w:jc w:val="center"/>
        <w:rPr>
          <w:rFonts w:cs="Times New Roman"/>
          <w:b/>
          <w:sz w:val="32"/>
          <w:szCs w:val="32"/>
          <w:lang w:val="en"/>
        </w:rPr>
      </w:pPr>
    </w:p>
    <w:p w:rsidR="00916736" w:rsidRPr="00C828D9" w:rsidRDefault="00916736" w:rsidP="0097351E">
      <w:pPr>
        <w:jc w:val="both"/>
        <w:rPr>
          <w:rFonts w:cs="Times New Roman"/>
          <w:lang w:val="en"/>
        </w:rPr>
      </w:pPr>
      <w:r w:rsidRPr="00C828D9">
        <w:rPr>
          <w:rFonts w:cs="Times New Roman"/>
          <w:lang w:val="en"/>
        </w:rPr>
        <w:t>INTRODUCTION</w:t>
      </w:r>
    </w:p>
    <w:p w:rsidR="00916736" w:rsidRPr="00C828D9" w:rsidRDefault="00916736" w:rsidP="0097351E">
      <w:pPr>
        <w:jc w:val="both"/>
        <w:rPr>
          <w:rFonts w:cs="Times New Roman"/>
          <w:lang w:val="en"/>
        </w:rPr>
      </w:pPr>
      <w:r w:rsidRPr="00C828D9">
        <w:rPr>
          <w:rFonts w:cs="Times New Roman"/>
          <w:lang w:val="en"/>
        </w:rPr>
        <w:t xml:space="preserve">The affairs of the </w:t>
      </w:r>
      <w:r w:rsidR="0097351E" w:rsidRPr="00C828D9">
        <w:rPr>
          <w:rFonts w:cs="Times New Roman"/>
          <w:lang w:val="en"/>
        </w:rPr>
        <w:t>University of Arkansas</w:t>
      </w:r>
      <w:r w:rsidRPr="00C828D9">
        <w:rPr>
          <w:rFonts w:cs="Times New Roman"/>
          <w:lang w:val="en"/>
        </w:rPr>
        <w:t xml:space="preserve"> are controlled by the </w:t>
      </w:r>
      <w:r w:rsidR="0097351E" w:rsidRPr="00C828D9">
        <w:rPr>
          <w:rFonts w:cs="Times New Roman"/>
          <w:lang w:val="en"/>
        </w:rPr>
        <w:t>U</w:t>
      </w:r>
      <w:r w:rsidRPr="00C828D9">
        <w:rPr>
          <w:rFonts w:cs="Times New Roman"/>
          <w:lang w:val="en"/>
        </w:rPr>
        <w:t xml:space="preserve">niversity’s Board of Trustees, which has designated investment authority to the </w:t>
      </w:r>
      <w:r w:rsidR="0097351E" w:rsidRPr="00C828D9">
        <w:rPr>
          <w:rFonts w:cs="Times New Roman"/>
          <w:lang w:val="en"/>
        </w:rPr>
        <w:t>University of Arkansas S</w:t>
      </w:r>
      <w:r w:rsidRPr="00C828D9">
        <w:rPr>
          <w:rFonts w:cs="Times New Roman"/>
          <w:lang w:val="en"/>
        </w:rPr>
        <w:t xml:space="preserve">ystem </w:t>
      </w:r>
      <w:r w:rsidR="0097351E" w:rsidRPr="00C828D9">
        <w:rPr>
          <w:rFonts w:cs="Times New Roman"/>
          <w:lang w:val="en"/>
        </w:rPr>
        <w:t>C</w:t>
      </w:r>
      <w:r w:rsidRPr="00C828D9">
        <w:rPr>
          <w:rFonts w:cs="Times New Roman"/>
          <w:lang w:val="en"/>
        </w:rPr>
        <w:t xml:space="preserve">hief </w:t>
      </w:r>
      <w:r w:rsidR="0097351E" w:rsidRPr="00C828D9">
        <w:rPr>
          <w:rFonts w:cs="Times New Roman"/>
          <w:lang w:val="en"/>
        </w:rPr>
        <w:t>F</w:t>
      </w:r>
      <w:r w:rsidRPr="00C828D9">
        <w:rPr>
          <w:rFonts w:cs="Times New Roman"/>
          <w:lang w:val="en"/>
        </w:rPr>
        <w:t xml:space="preserve">inancial </w:t>
      </w:r>
      <w:r w:rsidR="0097351E" w:rsidRPr="00C828D9">
        <w:rPr>
          <w:rFonts w:cs="Times New Roman"/>
          <w:lang w:val="en"/>
        </w:rPr>
        <w:t>O</w:t>
      </w:r>
      <w:r w:rsidRPr="00C828D9">
        <w:rPr>
          <w:rFonts w:cs="Times New Roman"/>
          <w:lang w:val="en"/>
        </w:rPr>
        <w:t>fficer, who in turn will work with the Investment Advisory Committee</w:t>
      </w:r>
      <w:r w:rsidR="00865E9D" w:rsidRPr="00C828D9">
        <w:rPr>
          <w:rFonts w:cs="Times New Roman"/>
          <w:lang w:val="en"/>
        </w:rPr>
        <w:t xml:space="preserve"> as directed in Board of Trustees Policy 470.2</w:t>
      </w:r>
      <w:r w:rsidRPr="00C828D9">
        <w:rPr>
          <w:rFonts w:cs="Times New Roman"/>
          <w:lang w:val="en"/>
        </w:rPr>
        <w:t>.</w:t>
      </w:r>
    </w:p>
    <w:p w:rsidR="00916736" w:rsidRPr="00C828D9" w:rsidRDefault="00916736" w:rsidP="0097351E">
      <w:pPr>
        <w:jc w:val="both"/>
        <w:rPr>
          <w:rFonts w:cs="Times New Roman"/>
          <w:lang w:val="en"/>
        </w:rPr>
      </w:pPr>
      <w:r w:rsidRPr="00C828D9">
        <w:rPr>
          <w:rFonts w:cs="Times New Roman"/>
          <w:lang w:val="en"/>
        </w:rPr>
        <w:t xml:space="preserve">The purpose of this Investment Policy (the "policy") is to set general guidelines to provide a clear understanding of the investment objectives </w:t>
      </w:r>
      <w:r w:rsidR="001D6EC8" w:rsidRPr="00C828D9">
        <w:rPr>
          <w:rFonts w:cs="Times New Roman"/>
          <w:lang w:val="en"/>
        </w:rPr>
        <w:t>for</w:t>
      </w:r>
      <w:r w:rsidRPr="00C828D9">
        <w:rPr>
          <w:rFonts w:cs="Times New Roman"/>
          <w:lang w:val="en"/>
        </w:rPr>
        <w:t xml:space="preserve"> the </w:t>
      </w:r>
      <w:r w:rsidR="0097351E" w:rsidRPr="00C828D9">
        <w:rPr>
          <w:rFonts w:cs="Times New Roman"/>
          <w:lang w:val="en"/>
        </w:rPr>
        <w:t>System</w:t>
      </w:r>
      <w:r w:rsidRPr="00C828D9">
        <w:rPr>
          <w:rFonts w:cs="Times New Roman"/>
          <w:lang w:val="en"/>
        </w:rPr>
        <w:t xml:space="preserve">’s operating funds ("funds"). The policy shall be used as a guideline for the Investment Advisory Committee as well as for the </w:t>
      </w:r>
      <w:r w:rsidR="00F31B25">
        <w:rPr>
          <w:rFonts w:cs="Times New Roman"/>
          <w:lang w:val="en"/>
        </w:rPr>
        <w:t xml:space="preserve">external </w:t>
      </w:r>
      <w:r w:rsidRPr="00C828D9">
        <w:rPr>
          <w:rFonts w:cs="Times New Roman"/>
          <w:lang w:val="en"/>
        </w:rPr>
        <w:t>investment advisor</w:t>
      </w:r>
      <w:r w:rsidR="00F31B25">
        <w:rPr>
          <w:rFonts w:cs="Times New Roman"/>
          <w:lang w:val="en"/>
        </w:rPr>
        <w:t xml:space="preserve"> and/or </w:t>
      </w:r>
      <w:r w:rsidRPr="00C828D9">
        <w:rPr>
          <w:rFonts w:cs="Times New Roman"/>
          <w:lang w:val="en"/>
        </w:rPr>
        <w:t xml:space="preserve">the investment managers and the custodial agents hired by the </w:t>
      </w:r>
      <w:r w:rsidR="00066052" w:rsidRPr="00C828D9">
        <w:rPr>
          <w:rFonts w:cs="Times New Roman"/>
          <w:lang w:val="en"/>
        </w:rPr>
        <w:t>System</w:t>
      </w:r>
      <w:r w:rsidRPr="00C828D9">
        <w:rPr>
          <w:rFonts w:cs="Times New Roman"/>
          <w:lang w:val="en"/>
        </w:rPr>
        <w:t>.</w:t>
      </w:r>
    </w:p>
    <w:p w:rsidR="00865E9D" w:rsidRPr="00C828D9" w:rsidRDefault="00865E9D" w:rsidP="0097351E">
      <w:pPr>
        <w:jc w:val="both"/>
        <w:rPr>
          <w:rFonts w:cs="Times New Roman"/>
          <w:lang w:val="en"/>
        </w:rPr>
      </w:pPr>
      <w:r w:rsidRPr="00C828D9">
        <w:rPr>
          <w:rFonts w:cs="Times New Roman"/>
          <w:lang w:val="en"/>
        </w:rPr>
        <w:t>INVESTMENT ADVISORY COMMITTEE</w:t>
      </w:r>
    </w:p>
    <w:p w:rsidR="00865E9D" w:rsidRPr="00C828D9" w:rsidRDefault="00865E9D" w:rsidP="0097351E">
      <w:pPr>
        <w:jc w:val="both"/>
        <w:rPr>
          <w:rFonts w:cs="Times New Roman"/>
          <w:lang w:val="en"/>
        </w:rPr>
      </w:pPr>
      <w:r w:rsidRPr="00C828D9">
        <w:rPr>
          <w:rFonts w:cs="Times New Roman"/>
          <w:lang w:val="en"/>
        </w:rPr>
        <w:t xml:space="preserve">The Investment Advisory Committee </w:t>
      </w:r>
      <w:r w:rsidR="00451DCD" w:rsidRPr="00C828D9">
        <w:rPr>
          <w:rFonts w:cs="Times New Roman"/>
          <w:lang w:val="en"/>
        </w:rPr>
        <w:t>will</w:t>
      </w:r>
      <w:r w:rsidRPr="00C828D9">
        <w:rPr>
          <w:rFonts w:cs="Times New Roman"/>
          <w:lang w:val="en"/>
        </w:rPr>
        <w:t xml:space="preserve"> oversee and monitor management of operating funds</w:t>
      </w:r>
      <w:r w:rsidR="00451DCD" w:rsidRPr="00C828D9">
        <w:rPr>
          <w:rFonts w:cs="Times New Roman"/>
          <w:lang w:val="en"/>
        </w:rPr>
        <w:t xml:space="preserve"> of the System</w:t>
      </w:r>
      <w:r w:rsidRPr="00C828D9">
        <w:rPr>
          <w:rFonts w:cs="Times New Roman"/>
          <w:lang w:val="en"/>
        </w:rPr>
        <w:t xml:space="preserve">. </w:t>
      </w:r>
      <w:r w:rsidR="00451DCD" w:rsidRPr="00C828D9">
        <w:rPr>
          <w:rFonts w:cs="Times New Roman"/>
          <w:lang w:val="en"/>
        </w:rPr>
        <w:t xml:space="preserve">The </w:t>
      </w:r>
      <w:r w:rsidRPr="00C828D9">
        <w:rPr>
          <w:rFonts w:cs="Times New Roman"/>
          <w:lang w:val="en"/>
        </w:rPr>
        <w:t xml:space="preserve">Investment Advisory Committee will be charged with the following responsibilities: </w:t>
      </w:r>
    </w:p>
    <w:p w:rsidR="00865E9D" w:rsidRPr="00C828D9" w:rsidRDefault="00865E9D" w:rsidP="00451DCD">
      <w:pPr>
        <w:pStyle w:val="ListParagraph"/>
        <w:numPr>
          <w:ilvl w:val="0"/>
          <w:numId w:val="4"/>
        </w:numPr>
        <w:jc w:val="both"/>
        <w:rPr>
          <w:rFonts w:cs="Times New Roman"/>
          <w:lang w:val="en"/>
        </w:rPr>
      </w:pPr>
      <w:r w:rsidRPr="00C828D9">
        <w:rPr>
          <w:rFonts w:cs="Times New Roman"/>
          <w:lang w:val="en"/>
        </w:rPr>
        <w:t xml:space="preserve">Review and update the policy </w:t>
      </w:r>
      <w:r w:rsidR="00451DCD" w:rsidRPr="00C828D9">
        <w:rPr>
          <w:rFonts w:cs="Times New Roman"/>
          <w:lang w:val="en"/>
        </w:rPr>
        <w:t>as needed</w:t>
      </w:r>
      <w:r w:rsidRPr="00C828D9">
        <w:rPr>
          <w:rFonts w:cs="Times New Roman"/>
          <w:lang w:val="en"/>
        </w:rPr>
        <w:t xml:space="preserve"> in response to changes in applicable laws, changing economic and market conditions, and current needs of the </w:t>
      </w:r>
      <w:r w:rsidR="00451DCD" w:rsidRPr="00C828D9">
        <w:rPr>
          <w:rFonts w:cs="Times New Roman"/>
          <w:lang w:val="en"/>
        </w:rPr>
        <w:t>System.</w:t>
      </w:r>
      <w:r w:rsidRPr="00C828D9">
        <w:rPr>
          <w:rFonts w:cs="Times New Roman"/>
          <w:lang w:val="en"/>
        </w:rPr>
        <w:t xml:space="preserve"> </w:t>
      </w:r>
    </w:p>
    <w:p w:rsidR="00865E9D" w:rsidRPr="00C828D9" w:rsidRDefault="00865E9D" w:rsidP="00451DCD">
      <w:pPr>
        <w:pStyle w:val="ListParagraph"/>
        <w:numPr>
          <w:ilvl w:val="0"/>
          <w:numId w:val="4"/>
        </w:numPr>
        <w:jc w:val="both"/>
        <w:rPr>
          <w:rFonts w:cs="Times New Roman"/>
          <w:lang w:val="en"/>
        </w:rPr>
      </w:pPr>
      <w:r w:rsidRPr="00C828D9">
        <w:rPr>
          <w:rFonts w:cs="Times New Roman"/>
          <w:lang w:val="en"/>
        </w:rPr>
        <w:t xml:space="preserve">Monitor the investment program to insure that proper controls are in place to ensure the integrity and security of the </w:t>
      </w:r>
      <w:r w:rsidR="00451DCD" w:rsidRPr="00C828D9">
        <w:rPr>
          <w:rFonts w:cs="Times New Roman"/>
          <w:lang w:val="en"/>
        </w:rPr>
        <w:t>investment portfolios.</w:t>
      </w:r>
    </w:p>
    <w:p w:rsidR="00865E9D" w:rsidRPr="00C828D9" w:rsidRDefault="00865E9D" w:rsidP="00451DCD">
      <w:pPr>
        <w:pStyle w:val="ListParagraph"/>
        <w:numPr>
          <w:ilvl w:val="0"/>
          <w:numId w:val="4"/>
        </w:numPr>
        <w:jc w:val="both"/>
        <w:rPr>
          <w:rFonts w:cs="Times New Roman"/>
          <w:lang w:val="en"/>
        </w:rPr>
      </w:pPr>
      <w:r w:rsidRPr="00C828D9">
        <w:rPr>
          <w:rFonts w:cs="Times New Roman"/>
          <w:lang w:val="en"/>
        </w:rPr>
        <w:t xml:space="preserve">Assure that the </w:t>
      </w:r>
      <w:r w:rsidR="001D6EC8" w:rsidRPr="00C828D9">
        <w:rPr>
          <w:rFonts w:cs="Times New Roman"/>
          <w:lang w:val="en"/>
        </w:rPr>
        <w:t>investments are in compliance with the</w:t>
      </w:r>
      <w:r w:rsidRPr="00C828D9">
        <w:rPr>
          <w:rFonts w:cs="Times New Roman"/>
          <w:lang w:val="en"/>
        </w:rPr>
        <w:t xml:space="preserve"> polic</w:t>
      </w:r>
      <w:r w:rsidR="001D6EC8" w:rsidRPr="00C828D9">
        <w:rPr>
          <w:rFonts w:cs="Times New Roman"/>
          <w:lang w:val="en"/>
        </w:rPr>
        <w:t>y.</w:t>
      </w:r>
      <w:r w:rsidRPr="00C828D9">
        <w:rPr>
          <w:rFonts w:cs="Times New Roman"/>
          <w:lang w:val="en"/>
        </w:rPr>
        <w:t xml:space="preserve"> </w:t>
      </w:r>
    </w:p>
    <w:p w:rsidR="00865E9D" w:rsidRPr="00C828D9" w:rsidRDefault="00865E9D" w:rsidP="00451DCD">
      <w:pPr>
        <w:pStyle w:val="ListParagraph"/>
        <w:numPr>
          <w:ilvl w:val="0"/>
          <w:numId w:val="4"/>
        </w:numPr>
        <w:jc w:val="both"/>
        <w:rPr>
          <w:rFonts w:cs="Times New Roman"/>
          <w:lang w:val="en"/>
        </w:rPr>
      </w:pPr>
      <w:r w:rsidRPr="00C828D9">
        <w:rPr>
          <w:rFonts w:cs="Times New Roman"/>
          <w:lang w:val="en"/>
        </w:rPr>
        <w:t>Meet periodically</w:t>
      </w:r>
      <w:r w:rsidR="00014121">
        <w:rPr>
          <w:rFonts w:cs="Times New Roman"/>
          <w:lang w:val="en"/>
        </w:rPr>
        <w:t>, but at least twice a year,</w:t>
      </w:r>
      <w:r w:rsidRPr="00C828D9">
        <w:rPr>
          <w:rFonts w:cs="Times New Roman"/>
          <w:lang w:val="en"/>
        </w:rPr>
        <w:t xml:space="preserve"> to deliberate such topics as economic outlook, portfolio diversification, maturity structure, potential risks and the target rate of return on the investment portfolio</w:t>
      </w:r>
      <w:r w:rsidR="001D6EC8" w:rsidRPr="00C828D9">
        <w:rPr>
          <w:rFonts w:cs="Times New Roman"/>
          <w:lang w:val="en"/>
        </w:rPr>
        <w:t>.</w:t>
      </w:r>
      <w:r w:rsidRPr="00C828D9">
        <w:rPr>
          <w:rFonts w:cs="Times New Roman"/>
          <w:lang w:val="en"/>
        </w:rPr>
        <w:t xml:space="preserve"> </w:t>
      </w:r>
    </w:p>
    <w:p w:rsidR="00865E9D" w:rsidRPr="00C828D9" w:rsidRDefault="00865E9D" w:rsidP="0097351E">
      <w:pPr>
        <w:jc w:val="both"/>
        <w:rPr>
          <w:rFonts w:cs="Times New Roman"/>
          <w:lang w:val="en"/>
        </w:rPr>
      </w:pPr>
      <w:r w:rsidRPr="00C828D9">
        <w:rPr>
          <w:rFonts w:cs="Times New Roman"/>
          <w:lang w:val="en"/>
        </w:rPr>
        <w:t xml:space="preserve">The </w:t>
      </w:r>
      <w:r w:rsidR="001D6EC8" w:rsidRPr="00C828D9">
        <w:rPr>
          <w:rFonts w:cs="Times New Roman"/>
          <w:lang w:val="en"/>
        </w:rPr>
        <w:t>C</w:t>
      </w:r>
      <w:r w:rsidRPr="00C828D9">
        <w:rPr>
          <w:rFonts w:cs="Times New Roman"/>
          <w:lang w:val="en"/>
        </w:rPr>
        <w:t xml:space="preserve">ommittee may retain the services </w:t>
      </w:r>
      <w:r w:rsidR="001D6EC8" w:rsidRPr="00C828D9">
        <w:rPr>
          <w:rFonts w:cs="Times New Roman"/>
          <w:lang w:val="en"/>
        </w:rPr>
        <w:t>of an</w:t>
      </w:r>
      <w:r w:rsidR="006E49D1">
        <w:rPr>
          <w:rFonts w:cs="Times New Roman"/>
          <w:lang w:val="en"/>
        </w:rPr>
        <w:t xml:space="preserve"> external </w:t>
      </w:r>
      <w:r w:rsidRPr="00C828D9">
        <w:rPr>
          <w:rFonts w:cs="Times New Roman"/>
          <w:lang w:val="en"/>
        </w:rPr>
        <w:t>investment advisor</w:t>
      </w:r>
      <w:r w:rsidR="001D6EC8" w:rsidRPr="00C828D9">
        <w:rPr>
          <w:rFonts w:cs="Times New Roman"/>
          <w:lang w:val="en"/>
        </w:rPr>
        <w:t xml:space="preserve"> consistent with the UASP 310.1 </w:t>
      </w:r>
      <w:r w:rsidRPr="00C828D9">
        <w:rPr>
          <w:rFonts w:cs="Times New Roman"/>
          <w:lang w:val="en"/>
        </w:rPr>
        <w:t>to assist in performing its duties.</w:t>
      </w:r>
      <w:r w:rsidR="006E49D1">
        <w:rPr>
          <w:rFonts w:cs="Times New Roman"/>
          <w:lang w:val="en"/>
        </w:rPr>
        <w:t xml:space="preserve"> The Committee members and those responsible for the management of the investment portfolio will perform their duties in a manner consistent with the standard of a “prudent investor.”</w:t>
      </w:r>
    </w:p>
    <w:p w:rsidR="00865E9D" w:rsidRPr="00C828D9" w:rsidRDefault="00865E9D" w:rsidP="0097351E">
      <w:pPr>
        <w:jc w:val="both"/>
        <w:rPr>
          <w:rFonts w:cs="Times New Roman"/>
          <w:lang w:val="en"/>
        </w:rPr>
      </w:pPr>
      <w:r w:rsidRPr="00C828D9">
        <w:rPr>
          <w:rFonts w:cs="Times New Roman"/>
          <w:lang w:val="en"/>
        </w:rPr>
        <w:t>OBJECTIVES</w:t>
      </w:r>
    </w:p>
    <w:p w:rsidR="00865E9D" w:rsidRPr="00C828D9" w:rsidRDefault="00865E9D" w:rsidP="0097351E">
      <w:pPr>
        <w:jc w:val="both"/>
        <w:rPr>
          <w:rFonts w:cs="Times New Roman"/>
          <w:lang w:val="en"/>
        </w:rPr>
      </w:pPr>
      <w:r w:rsidRPr="00C828D9">
        <w:rPr>
          <w:rFonts w:cs="Times New Roman"/>
          <w:lang w:val="en"/>
        </w:rPr>
        <w:t xml:space="preserve">The fund’s investment objectives, in order of priority, are the following: </w:t>
      </w:r>
    </w:p>
    <w:p w:rsidR="00865E9D" w:rsidRPr="00C828D9" w:rsidRDefault="00865E9D" w:rsidP="007002D6">
      <w:pPr>
        <w:pStyle w:val="ListParagraph"/>
        <w:numPr>
          <w:ilvl w:val="0"/>
          <w:numId w:val="7"/>
        </w:numPr>
        <w:ind w:left="720" w:hanging="360"/>
        <w:jc w:val="both"/>
        <w:rPr>
          <w:rFonts w:cs="Times New Roman"/>
          <w:lang w:val="en"/>
        </w:rPr>
      </w:pPr>
      <w:r w:rsidRPr="00C828D9">
        <w:rPr>
          <w:rFonts w:cs="Times New Roman"/>
          <w:lang w:val="en"/>
        </w:rPr>
        <w:t xml:space="preserve">Safety of Principal – Safety of principal is the foremost objective of the investment program. Investments shall be </w:t>
      </w:r>
      <w:r w:rsidR="007002D6" w:rsidRPr="00C828D9">
        <w:rPr>
          <w:rFonts w:cs="Times New Roman"/>
          <w:lang w:val="en"/>
        </w:rPr>
        <w:t>made</w:t>
      </w:r>
      <w:r w:rsidRPr="00C828D9">
        <w:rPr>
          <w:rFonts w:cs="Times New Roman"/>
          <w:lang w:val="en"/>
        </w:rPr>
        <w:t xml:space="preserve"> in a manner that seeks to ensure the preservation of capital. </w:t>
      </w:r>
    </w:p>
    <w:p w:rsidR="00865E9D" w:rsidRPr="00C828D9" w:rsidRDefault="00865E9D" w:rsidP="001D6EC8">
      <w:pPr>
        <w:pStyle w:val="ListParagraph"/>
        <w:numPr>
          <w:ilvl w:val="0"/>
          <w:numId w:val="7"/>
        </w:numPr>
        <w:ind w:left="720" w:hanging="360"/>
        <w:jc w:val="both"/>
        <w:rPr>
          <w:rFonts w:cs="Times New Roman"/>
          <w:lang w:val="en"/>
        </w:rPr>
      </w:pPr>
      <w:r w:rsidRPr="00C828D9">
        <w:rPr>
          <w:rFonts w:cs="Times New Roman"/>
          <w:lang w:val="en"/>
        </w:rPr>
        <w:t xml:space="preserve">Maintenance of Liquidity – The funds shall remain sufficiently liquid to enable the </w:t>
      </w:r>
      <w:r w:rsidR="007002D6" w:rsidRPr="00C828D9">
        <w:rPr>
          <w:rFonts w:cs="Times New Roman"/>
          <w:lang w:val="en"/>
        </w:rPr>
        <w:t>System</w:t>
      </w:r>
      <w:r w:rsidRPr="00C828D9">
        <w:rPr>
          <w:rFonts w:cs="Times New Roman"/>
          <w:lang w:val="en"/>
        </w:rPr>
        <w:t xml:space="preserve"> to meet all operating requirements which might be reasonably anticipated, including but not limited to payroll, accounts payable, capital projects, debt service and any other payments. </w:t>
      </w:r>
    </w:p>
    <w:p w:rsidR="00916736" w:rsidRPr="00C828D9" w:rsidRDefault="007002D6" w:rsidP="0097351E">
      <w:pPr>
        <w:pStyle w:val="ListParagraph"/>
        <w:numPr>
          <w:ilvl w:val="0"/>
          <w:numId w:val="7"/>
        </w:numPr>
        <w:ind w:left="720" w:hanging="360"/>
        <w:jc w:val="both"/>
        <w:rPr>
          <w:rFonts w:cs="Times New Roman"/>
          <w:lang w:val="en"/>
        </w:rPr>
      </w:pPr>
      <w:r w:rsidRPr="00C828D9">
        <w:rPr>
          <w:rFonts w:cs="Times New Roman"/>
          <w:lang w:val="en"/>
        </w:rPr>
        <w:lastRenderedPageBreak/>
        <w:t>Return on Investment – The</w:t>
      </w:r>
      <w:r w:rsidR="00865E9D" w:rsidRPr="00C828D9">
        <w:rPr>
          <w:rFonts w:cs="Times New Roman"/>
          <w:lang w:val="en"/>
        </w:rPr>
        <w:t xml:space="preserve"> funds shall be managed with the objective of attaining a market rate of return (or higher) throughout the budgetary and economic cycles, </w:t>
      </w:r>
      <w:r w:rsidRPr="00C828D9">
        <w:rPr>
          <w:rFonts w:cs="Times New Roman"/>
          <w:lang w:val="en"/>
        </w:rPr>
        <w:t>taking into account the</w:t>
      </w:r>
      <w:r w:rsidR="00865E9D" w:rsidRPr="00C828D9">
        <w:rPr>
          <w:rFonts w:cs="Times New Roman"/>
          <w:lang w:val="en"/>
        </w:rPr>
        <w:t xml:space="preserve"> risk constraints and cash flow characteristics of the portfolio.</w:t>
      </w:r>
    </w:p>
    <w:p w:rsidR="006A425B" w:rsidRPr="00C828D9" w:rsidRDefault="006A425B" w:rsidP="006A425B">
      <w:pPr>
        <w:jc w:val="both"/>
        <w:rPr>
          <w:rFonts w:cs="Times New Roman"/>
          <w:lang w:val="en"/>
        </w:rPr>
      </w:pPr>
      <w:r w:rsidRPr="00C828D9">
        <w:rPr>
          <w:rFonts w:cs="Times New Roman"/>
          <w:lang w:val="en"/>
        </w:rPr>
        <w:t>INVESTMENT PORTFOLIOS</w:t>
      </w:r>
    </w:p>
    <w:p w:rsidR="006A425B" w:rsidRPr="00C828D9" w:rsidRDefault="006A425B" w:rsidP="006A425B">
      <w:pPr>
        <w:contextualSpacing/>
        <w:jc w:val="both"/>
        <w:rPr>
          <w:rFonts w:cs="Times New Roman"/>
          <w:lang w:val="en"/>
        </w:rPr>
      </w:pPr>
      <w:r w:rsidRPr="00C828D9">
        <w:rPr>
          <w:rFonts w:cs="Times New Roman"/>
          <w:lang w:val="en"/>
        </w:rPr>
        <w:t>Maintenance of adequate liquidity to meet the cash flow needs of the System is essential. Accordingly, to the extent possible, the funds will be structured in a manner that ensures sufficient cash is available to meet anticipated liquidity needs. Whenever practical, selection of investment maturities will be consistent with the known cash requirements in order to minimize the forced sale of securities prior to maturity.</w:t>
      </w:r>
    </w:p>
    <w:p w:rsidR="006A425B" w:rsidRPr="00C828D9" w:rsidRDefault="006A425B" w:rsidP="006A425B">
      <w:pPr>
        <w:contextualSpacing/>
        <w:jc w:val="both"/>
        <w:rPr>
          <w:rFonts w:cs="Times New Roman"/>
          <w:lang w:val="en"/>
        </w:rPr>
      </w:pPr>
    </w:p>
    <w:p w:rsidR="009B5A52" w:rsidRPr="00C828D9" w:rsidRDefault="009B5A52" w:rsidP="0097351E">
      <w:pPr>
        <w:jc w:val="both"/>
        <w:rPr>
          <w:rFonts w:cs="Times New Roman"/>
          <w:u w:val="single"/>
          <w:lang w:val="en"/>
        </w:rPr>
      </w:pPr>
      <w:r w:rsidRPr="00C828D9">
        <w:rPr>
          <w:rFonts w:cs="Times New Roman"/>
          <w:u w:val="single"/>
          <w:lang w:val="en"/>
        </w:rPr>
        <w:t xml:space="preserve">Short Term </w:t>
      </w:r>
      <w:r w:rsidR="00C828D9">
        <w:rPr>
          <w:rFonts w:cs="Times New Roman"/>
          <w:u w:val="single"/>
          <w:lang w:val="en"/>
        </w:rPr>
        <w:t xml:space="preserve">Investment </w:t>
      </w:r>
      <w:r w:rsidRPr="00C828D9">
        <w:rPr>
          <w:rFonts w:cs="Times New Roman"/>
          <w:u w:val="single"/>
          <w:lang w:val="en"/>
        </w:rPr>
        <w:t>Fund</w:t>
      </w:r>
    </w:p>
    <w:p w:rsidR="009B5A52" w:rsidRPr="00C828D9" w:rsidRDefault="009B5A52" w:rsidP="00D66180">
      <w:pPr>
        <w:contextualSpacing/>
        <w:jc w:val="both"/>
        <w:rPr>
          <w:rFonts w:cs="Times New Roman"/>
          <w:lang w:val="en"/>
        </w:rPr>
      </w:pPr>
      <w:r w:rsidRPr="00C828D9">
        <w:rPr>
          <w:rFonts w:cs="Times New Roman"/>
          <w:lang w:val="en"/>
        </w:rPr>
        <w:t>The Short Term investment fund provides a current return and stability of principal while affording a means of overnight liquidity for projected cash needs. The investment maturities in this fund will range between daily and two (2) years.</w:t>
      </w:r>
    </w:p>
    <w:p w:rsidR="00D66180" w:rsidRPr="00C828D9" w:rsidRDefault="00D66180" w:rsidP="00D66180">
      <w:pPr>
        <w:contextualSpacing/>
        <w:jc w:val="both"/>
        <w:rPr>
          <w:rFonts w:cs="Times New Roman"/>
          <w:lang w:val="en"/>
        </w:rPr>
      </w:pPr>
    </w:p>
    <w:p w:rsidR="009B5A52" w:rsidRPr="00C828D9" w:rsidRDefault="009B5A52" w:rsidP="0097351E">
      <w:pPr>
        <w:jc w:val="both"/>
        <w:rPr>
          <w:rFonts w:cs="Times New Roman"/>
          <w:lang w:val="en"/>
        </w:rPr>
      </w:pPr>
      <w:r w:rsidRPr="00C828D9">
        <w:rPr>
          <w:rFonts w:cs="Times New Roman"/>
          <w:lang w:val="en"/>
        </w:rPr>
        <w:t>INVESTMENT OBJECTIVES</w:t>
      </w:r>
    </w:p>
    <w:p w:rsidR="009B5A52" w:rsidRPr="00C828D9" w:rsidRDefault="009B5A52" w:rsidP="00D66180">
      <w:pPr>
        <w:numPr>
          <w:ilvl w:val="0"/>
          <w:numId w:val="1"/>
        </w:numPr>
        <w:tabs>
          <w:tab w:val="clear" w:pos="720"/>
        </w:tabs>
        <w:contextualSpacing/>
        <w:jc w:val="both"/>
        <w:rPr>
          <w:rFonts w:cs="Times New Roman"/>
          <w:lang w:val="en"/>
        </w:rPr>
      </w:pPr>
      <w:r w:rsidRPr="00C828D9">
        <w:rPr>
          <w:rFonts w:cs="Times New Roman"/>
          <w:lang w:val="en"/>
        </w:rPr>
        <w:t>The primary investment objective shall be preservation of principal and current income consistent with permitted investments.</w:t>
      </w:r>
    </w:p>
    <w:p w:rsidR="009B5A52" w:rsidRPr="00C828D9" w:rsidRDefault="009B5A52" w:rsidP="00D66180">
      <w:pPr>
        <w:numPr>
          <w:ilvl w:val="0"/>
          <w:numId w:val="1"/>
        </w:numPr>
        <w:tabs>
          <w:tab w:val="clear" w:pos="720"/>
        </w:tabs>
        <w:contextualSpacing/>
        <w:jc w:val="both"/>
        <w:rPr>
          <w:rFonts w:cs="Times New Roman"/>
          <w:lang w:val="en"/>
        </w:rPr>
      </w:pPr>
      <w:r w:rsidRPr="00C828D9">
        <w:rPr>
          <w:rFonts w:cs="Times New Roman"/>
          <w:lang w:val="en"/>
        </w:rPr>
        <w:t>The secondary investment objective shall be to provide a competitive return on the short term funds of the System participants, while providing sufficient liquidity for periodic cash needs.</w:t>
      </w:r>
    </w:p>
    <w:p w:rsidR="009B5A52" w:rsidRPr="00C828D9" w:rsidRDefault="009B5A52" w:rsidP="00D66180">
      <w:pPr>
        <w:numPr>
          <w:ilvl w:val="0"/>
          <w:numId w:val="1"/>
        </w:numPr>
        <w:tabs>
          <w:tab w:val="clear" w:pos="720"/>
        </w:tabs>
        <w:contextualSpacing/>
        <w:jc w:val="both"/>
        <w:rPr>
          <w:rFonts w:cs="Times New Roman"/>
          <w:lang w:val="en"/>
        </w:rPr>
      </w:pPr>
      <w:r w:rsidRPr="00C828D9">
        <w:rPr>
          <w:rFonts w:cs="Times New Roman"/>
          <w:lang w:val="en"/>
        </w:rPr>
        <w:t>The portfolio shall be limited to domestic fixed income only and shall be well diversified as to issuer and maturity within the scope of permitted investments.</w:t>
      </w:r>
    </w:p>
    <w:p w:rsidR="009B5A52" w:rsidRPr="00C828D9" w:rsidRDefault="009B5A52" w:rsidP="00D66180">
      <w:pPr>
        <w:numPr>
          <w:ilvl w:val="0"/>
          <w:numId w:val="1"/>
        </w:numPr>
        <w:tabs>
          <w:tab w:val="clear" w:pos="720"/>
        </w:tabs>
        <w:contextualSpacing/>
        <w:jc w:val="both"/>
        <w:rPr>
          <w:rFonts w:cs="Times New Roman"/>
          <w:lang w:val="en"/>
        </w:rPr>
      </w:pPr>
      <w:r w:rsidRPr="00C828D9">
        <w:rPr>
          <w:rFonts w:cs="Times New Roman"/>
          <w:lang w:val="en"/>
        </w:rPr>
        <w:t>The overall character of the portfolio shall be of U.S. treasury and agency quality, possessing a minimal degree of credit risk.</w:t>
      </w:r>
    </w:p>
    <w:p w:rsidR="00D66180" w:rsidRPr="00C828D9" w:rsidRDefault="00D66180" w:rsidP="00D66180">
      <w:pPr>
        <w:ind w:left="720"/>
        <w:contextualSpacing/>
        <w:jc w:val="both"/>
        <w:rPr>
          <w:rFonts w:cs="Times New Roman"/>
          <w:lang w:val="en"/>
        </w:rPr>
      </w:pPr>
    </w:p>
    <w:p w:rsidR="009B5A52" w:rsidRPr="00C828D9" w:rsidRDefault="009B5A52" w:rsidP="0097351E">
      <w:pPr>
        <w:jc w:val="both"/>
        <w:rPr>
          <w:rFonts w:cs="Times New Roman"/>
          <w:lang w:val="en"/>
        </w:rPr>
      </w:pPr>
      <w:r w:rsidRPr="00C828D9">
        <w:rPr>
          <w:rFonts w:cs="Times New Roman"/>
          <w:lang w:val="en"/>
        </w:rPr>
        <w:t>GENERAL INVESTMENT GUIDELINES</w:t>
      </w:r>
    </w:p>
    <w:p w:rsidR="009B5A52" w:rsidRPr="00C828D9" w:rsidRDefault="009B5A52" w:rsidP="00D66180">
      <w:pPr>
        <w:numPr>
          <w:ilvl w:val="0"/>
          <w:numId w:val="2"/>
        </w:numPr>
        <w:tabs>
          <w:tab w:val="clear" w:pos="720"/>
        </w:tabs>
        <w:contextualSpacing/>
        <w:jc w:val="both"/>
        <w:rPr>
          <w:rFonts w:cs="Times New Roman"/>
          <w:lang w:val="en"/>
        </w:rPr>
      </w:pPr>
      <w:r w:rsidRPr="00C828D9">
        <w:rPr>
          <w:rFonts w:cs="Times New Roman"/>
          <w:lang w:val="en"/>
        </w:rPr>
        <w:t xml:space="preserve">The </w:t>
      </w:r>
      <w:r w:rsidR="00F31B25">
        <w:rPr>
          <w:rFonts w:cs="Times New Roman"/>
          <w:lang w:val="en"/>
        </w:rPr>
        <w:t xml:space="preserve">external </w:t>
      </w:r>
      <w:r w:rsidRPr="00C828D9">
        <w:rPr>
          <w:rFonts w:cs="Times New Roman"/>
          <w:lang w:val="en"/>
        </w:rPr>
        <w:t xml:space="preserve">investment </w:t>
      </w:r>
      <w:r w:rsidR="00F31B25">
        <w:rPr>
          <w:rFonts w:cs="Times New Roman"/>
          <w:lang w:val="en"/>
        </w:rPr>
        <w:t>advise</w:t>
      </w:r>
      <w:r w:rsidRPr="00C828D9">
        <w:rPr>
          <w:rFonts w:cs="Times New Roman"/>
          <w:lang w:val="en"/>
        </w:rPr>
        <w:t xml:space="preserve">r will give frequent and active attention to the portfolio to implement the </w:t>
      </w:r>
      <w:r w:rsidR="00BE1F11" w:rsidRPr="00C828D9">
        <w:rPr>
          <w:rFonts w:cs="Times New Roman"/>
          <w:lang w:val="en"/>
        </w:rPr>
        <w:t>System</w:t>
      </w:r>
      <w:r w:rsidRPr="00C828D9">
        <w:rPr>
          <w:rFonts w:cs="Times New Roman"/>
          <w:lang w:val="en"/>
        </w:rPr>
        <w:t>’s investment strategy.</w:t>
      </w:r>
    </w:p>
    <w:p w:rsidR="009B5A52" w:rsidRPr="00C828D9" w:rsidRDefault="009B5A52" w:rsidP="00D66180">
      <w:pPr>
        <w:numPr>
          <w:ilvl w:val="0"/>
          <w:numId w:val="2"/>
        </w:numPr>
        <w:tabs>
          <w:tab w:val="clear" w:pos="720"/>
        </w:tabs>
        <w:contextualSpacing/>
        <w:jc w:val="both"/>
        <w:rPr>
          <w:rFonts w:cs="Times New Roman"/>
          <w:lang w:val="en"/>
        </w:rPr>
      </w:pPr>
      <w:r w:rsidRPr="00C828D9">
        <w:rPr>
          <w:rFonts w:cs="Times New Roman"/>
          <w:lang w:val="en"/>
        </w:rPr>
        <w:t xml:space="preserve">The </w:t>
      </w:r>
      <w:r w:rsidR="00F31B25">
        <w:rPr>
          <w:rFonts w:cs="Times New Roman"/>
          <w:lang w:val="en"/>
        </w:rPr>
        <w:t xml:space="preserve">external </w:t>
      </w:r>
      <w:r w:rsidR="00F31B25" w:rsidRPr="00C828D9">
        <w:rPr>
          <w:rFonts w:cs="Times New Roman"/>
          <w:lang w:val="en"/>
        </w:rPr>
        <w:t xml:space="preserve">investment </w:t>
      </w:r>
      <w:r w:rsidR="00F31B25">
        <w:rPr>
          <w:rFonts w:cs="Times New Roman"/>
          <w:lang w:val="en"/>
        </w:rPr>
        <w:t>advise</w:t>
      </w:r>
      <w:r w:rsidR="00F31B25" w:rsidRPr="00C828D9">
        <w:rPr>
          <w:rFonts w:cs="Times New Roman"/>
          <w:lang w:val="en"/>
        </w:rPr>
        <w:t>r</w:t>
      </w:r>
      <w:r w:rsidRPr="00C828D9">
        <w:rPr>
          <w:rFonts w:cs="Times New Roman"/>
          <w:lang w:val="en"/>
        </w:rPr>
        <w:t xml:space="preserve"> is authorized to make investment changes as deemed necessary on a discretionary basis, but only in accordance with the objecti</w:t>
      </w:r>
      <w:r w:rsidR="00BE1F11" w:rsidRPr="00C828D9">
        <w:rPr>
          <w:rFonts w:cs="Times New Roman"/>
          <w:lang w:val="en"/>
        </w:rPr>
        <w:t xml:space="preserve">ves and guidelines set forth in this document. </w:t>
      </w:r>
      <w:r w:rsidRPr="00C828D9">
        <w:rPr>
          <w:rFonts w:cs="Times New Roman"/>
          <w:lang w:val="en"/>
        </w:rPr>
        <w:t>The</w:t>
      </w:r>
      <w:r w:rsidR="00F31B25" w:rsidRPr="00F31B25">
        <w:rPr>
          <w:rFonts w:cs="Times New Roman"/>
          <w:lang w:val="en"/>
        </w:rPr>
        <w:t xml:space="preserve"> </w:t>
      </w:r>
      <w:r w:rsidR="00F31B25">
        <w:rPr>
          <w:rFonts w:cs="Times New Roman"/>
          <w:lang w:val="en"/>
        </w:rPr>
        <w:t xml:space="preserve">external </w:t>
      </w:r>
      <w:r w:rsidR="00F31B25" w:rsidRPr="00C828D9">
        <w:rPr>
          <w:rFonts w:cs="Times New Roman"/>
          <w:lang w:val="en"/>
        </w:rPr>
        <w:t xml:space="preserve">investment </w:t>
      </w:r>
      <w:r w:rsidR="00F31B25">
        <w:rPr>
          <w:rFonts w:cs="Times New Roman"/>
          <w:lang w:val="en"/>
        </w:rPr>
        <w:t>advise</w:t>
      </w:r>
      <w:r w:rsidR="00F31B25" w:rsidRPr="00C828D9">
        <w:rPr>
          <w:rFonts w:cs="Times New Roman"/>
          <w:lang w:val="en"/>
        </w:rPr>
        <w:t xml:space="preserve">r </w:t>
      </w:r>
      <w:r w:rsidRPr="00C828D9">
        <w:rPr>
          <w:rFonts w:cs="Times New Roman"/>
          <w:lang w:val="en"/>
        </w:rPr>
        <w:t xml:space="preserve">will meet regularly with the Investment </w:t>
      </w:r>
      <w:r w:rsidR="00D66180" w:rsidRPr="00C828D9">
        <w:rPr>
          <w:rFonts w:cs="Times New Roman"/>
          <w:lang w:val="en"/>
        </w:rPr>
        <w:t xml:space="preserve">Advisory Committee </w:t>
      </w:r>
      <w:r w:rsidRPr="00C828D9">
        <w:rPr>
          <w:rFonts w:cs="Times New Roman"/>
          <w:lang w:val="en"/>
        </w:rPr>
        <w:t xml:space="preserve">to review investment objectives, investment strategies and performance results. </w:t>
      </w:r>
    </w:p>
    <w:p w:rsidR="009B5A52" w:rsidRPr="00C828D9" w:rsidRDefault="009B5A52" w:rsidP="00D66180">
      <w:pPr>
        <w:numPr>
          <w:ilvl w:val="0"/>
          <w:numId w:val="2"/>
        </w:numPr>
        <w:tabs>
          <w:tab w:val="clear" w:pos="720"/>
        </w:tabs>
        <w:contextualSpacing/>
        <w:jc w:val="both"/>
        <w:rPr>
          <w:rFonts w:cs="Times New Roman"/>
          <w:lang w:val="en"/>
        </w:rPr>
      </w:pPr>
      <w:r w:rsidRPr="00C828D9">
        <w:rPr>
          <w:rFonts w:cs="Times New Roman"/>
          <w:lang w:val="en"/>
        </w:rPr>
        <w:t xml:space="preserve">All investments utilized in the </w:t>
      </w:r>
      <w:r w:rsidR="00D66180" w:rsidRPr="00C828D9">
        <w:rPr>
          <w:rFonts w:cs="Times New Roman"/>
          <w:lang w:val="en"/>
        </w:rPr>
        <w:t>Short Term investment f</w:t>
      </w:r>
      <w:r w:rsidRPr="00C828D9">
        <w:rPr>
          <w:rFonts w:cs="Times New Roman"/>
          <w:lang w:val="en"/>
        </w:rPr>
        <w:t xml:space="preserve">und will be highly liquid with readily determinable valuations. Generally, it is anticipated that liquidity needs will be met through maturities, portfolio structure and income. </w:t>
      </w:r>
    </w:p>
    <w:p w:rsidR="009B5A52" w:rsidRPr="00C828D9" w:rsidRDefault="009B5A52" w:rsidP="00D66180">
      <w:pPr>
        <w:numPr>
          <w:ilvl w:val="0"/>
          <w:numId w:val="2"/>
        </w:numPr>
        <w:tabs>
          <w:tab w:val="clear" w:pos="720"/>
        </w:tabs>
        <w:contextualSpacing/>
        <w:jc w:val="both"/>
        <w:rPr>
          <w:rFonts w:cs="Times New Roman"/>
          <w:lang w:val="en"/>
        </w:rPr>
      </w:pPr>
      <w:r w:rsidRPr="00C828D9">
        <w:rPr>
          <w:rFonts w:cs="Times New Roman"/>
          <w:lang w:val="en"/>
        </w:rPr>
        <w:t>For comparative purposes, the portfolio will be measured against the Barclays 9-12 month T-Bill In</w:t>
      </w:r>
      <w:r w:rsidR="00D66180" w:rsidRPr="00C828D9">
        <w:rPr>
          <w:rFonts w:cs="Times New Roman"/>
          <w:lang w:val="en"/>
        </w:rPr>
        <w:t>dex.</w:t>
      </w:r>
    </w:p>
    <w:p w:rsidR="00D66180" w:rsidRPr="00C828D9" w:rsidRDefault="00D66180" w:rsidP="00D66180">
      <w:pPr>
        <w:ind w:left="720"/>
        <w:contextualSpacing/>
        <w:jc w:val="both"/>
        <w:rPr>
          <w:rFonts w:cs="Times New Roman"/>
          <w:lang w:val="en"/>
        </w:rPr>
      </w:pPr>
    </w:p>
    <w:p w:rsidR="009B5A52" w:rsidRPr="00C828D9" w:rsidRDefault="009B5A52" w:rsidP="0097351E">
      <w:pPr>
        <w:jc w:val="both"/>
        <w:rPr>
          <w:rFonts w:cs="Times New Roman"/>
          <w:lang w:val="en"/>
        </w:rPr>
      </w:pPr>
      <w:r w:rsidRPr="00C828D9">
        <w:rPr>
          <w:rFonts w:cs="Times New Roman"/>
          <w:lang w:val="en"/>
        </w:rPr>
        <w:lastRenderedPageBreak/>
        <w:t>SPECIFIC INVESTMENT GUIDELINES</w:t>
      </w:r>
    </w:p>
    <w:p w:rsidR="009B5A52" w:rsidRPr="00C828D9" w:rsidRDefault="009B5A52" w:rsidP="0097351E">
      <w:pPr>
        <w:numPr>
          <w:ilvl w:val="0"/>
          <w:numId w:val="3"/>
        </w:numPr>
        <w:jc w:val="both"/>
        <w:rPr>
          <w:rFonts w:cs="Times New Roman"/>
          <w:lang w:val="en"/>
        </w:rPr>
      </w:pPr>
      <w:r w:rsidRPr="00C828D9">
        <w:rPr>
          <w:rFonts w:cs="Times New Roman"/>
          <w:lang w:val="en"/>
        </w:rPr>
        <w:t xml:space="preserve">Investments in the </w:t>
      </w:r>
      <w:r w:rsidR="00032F5F" w:rsidRPr="00C828D9">
        <w:rPr>
          <w:rFonts w:cs="Times New Roman"/>
          <w:lang w:val="en"/>
        </w:rPr>
        <w:t>Short Term investment fund</w:t>
      </w:r>
      <w:r w:rsidRPr="00C828D9">
        <w:rPr>
          <w:rFonts w:cs="Times New Roman"/>
          <w:lang w:val="en"/>
        </w:rPr>
        <w:t xml:space="preserve"> shall be limited to securities permitted for investment under </w:t>
      </w:r>
      <w:r w:rsidR="00032F5F" w:rsidRPr="00C828D9">
        <w:rPr>
          <w:rFonts w:cs="Times New Roman"/>
          <w:lang w:val="en"/>
        </w:rPr>
        <w:t>Arkansas Code Section</w:t>
      </w:r>
      <w:r w:rsidRPr="00C828D9">
        <w:rPr>
          <w:rFonts w:cs="Times New Roman"/>
          <w:lang w:val="en"/>
        </w:rPr>
        <w:t xml:space="preserve"> </w:t>
      </w:r>
      <w:r w:rsidR="00032F5F" w:rsidRPr="00C828D9">
        <w:rPr>
          <w:rFonts w:cs="Times New Roman"/>
          <w:lang w:val="en"/>
        </w:rPr>
        <w:t>19-4-805</w:t>
      </w:r>
      <w:r w:rsidRPr="00C828D9">
        <w:rPr>
          <w:rFonts w:cs="Times New Roman"/>
          <w:lang w:val="en"/>
        </w:rPr>
        <w:t xml:space="preserve">. </w:t>
      </w:r>
    </w:p>
    <w:p w:rsidR="009B5A52" w:rsidRPr="00C828D9" w:rsidRDefault="0015455D" w:rsidP="0097351E">
      <w:pPr>
        <w:numPr>
          <w:ilvl w:val="0"/>
          <w:numId w:val="3"/>
        </w:numPr>
        <w:jc w:val="both"/>
        <w:rPr>
          <w:rFonts w:cs="Times New Roman"/>
          <w:lang w:val="en"/>
        </w:rPr>
      </w:pPr>
      <w:r>
        <w:rPr>
          <w:rFonts w:cs="Times New Roman"/>
          <w:lang w:val="en"/>
        </w:rPr>
        <w:t>P</w:t>
      </w:r>
      <w:r w:rsidR="009B5A52" w:rsidRPr="00C828D9">
        <w:rPr>
          <w:rFonts w:cs="Times New Roman"/>
          <w:lang w:val="en"/>
        </w:rPr>
        <w:t xml:space="preserve">ermitted investments shall include: </w:t>
      </w:r>
    </w:p>
    <w:p w:rsidR="009B5A52" w:rsidRPr="00C828D9" w:rsidRDefault="009B5A52" w:rsidP="00C828D9">
      <w:pPr>
        <w:numPr>
          <w:ilvl w:val="1"/>
          <w:numId w:val="3"/>
        </w:numPr>
        <w:tabs>
          <w:tab w:val="clear" w:pos="1440"/>
        </w:tabs>
        <w:ind w:left="1080"/>
        <w:jc w:val="both"/>
        <w:rPr>
          <w:rFonts w:cs="Times New Roman"/>
          <w:lang w:val="en"/>
        </w:rPr>
      </w:pPr>
      <w:r w:rsidRPr="00C828D9">
        <w:rPr>
          <w:rFonts w:cs="Times New Roman"/>
          <w:lang w:val="en"/>
        </w:rPr>
        <w:t>US Treasury bonds, bills and notes;</w:t>
      </w:r>
    </w:p>
    <w:p w:rsidR="009B5A52" w:rsidRPr="00C828D9" w:rsidRDefault="009B5A52" w:rsidP="00C828D9">
      <w:pPr>
        <w:numPr>
          <w:ilvl w:val="1"/>
          <w:numId w:val="3"/>
        </w:numPr>
        <w:tabs>
          <w:tab w:val="clear" w:pos="1440"/>
        </w:tabs>
        <w:ind w:left="1080"/>
        <w:jc w:val="both"/>
        <w:rPr>
          <w:rFonts w:cs="Times New Roman"/>
          <w:lang w:val="en"/>
        </w:rPr>
      </w:pPr>
      <w:r w:rsidRPr="00C828D9">
        <w:rPr>
          <w:rFonts w:cs="Times New Roman"/>
          <w:lang w:val="en"/>
        </w:rPr>
        <w:t>Obligations (including mortgage obligations) of subsidiary corporations of the US Federal Government including, but not limited to, the Federal National Mortgage Association, the Federal Home Loan Mortgage Corporation, and the Government National Mortgage Association;</w:t>
      </w:r>
    </w:p>
    <w:p w:rsidR="009B5A52" w:rsidRPr="00C828D9" w:rsidRDefault="009B5A52" w:rsidP="00C828D9">
      <w:pPr>
        <w:numPr>
          <w:ilvl w:val="1"/>
          <w:numId w:val="3"/>
        </w:numPr>
        <w:tabs>
          <w:tab w:val="clear" w:pos="1440"/>
        </w:tabs>
        <w:ind w:left="1080"/>
        <w:jc w:val="both"/>
        <w:rPr>
          <w:rFonts w:cs="Times New Roman"/>
          <w:lang w:val="en"/>
        </w:rPr>
      </w:pPr>
      <w:r w:rsidRPr="00C828D9">
        <w:rPr>
          <w:rFonts w:cs="Times New Roman"/>
          <w:lang w:val="en"/>
        </w:rPr>
        <w:t xml:space="preserve">Repurchase agreements </w:t>
      </w:r>
      <w:r w:rsidR="00F74019" w:rsidRPr="00C828D9">
        <w:rPr>
          <w:rFonts w:cs="Times New Roman"/>
          <w:lang w:val="en"/>
        </w:rPr>
        <w:t>collateralized</w:t>
      </w:r>
      <w:r w:rsidRPr="00C828D9">
        <w:rPr>
          <w:rFonts w:cs="Times New Roman"/>
          <w:lang w:val="en"/>
        </w:rPr>
        <w:t xml:space="preserve"> by obligations of the US Treasury and subsidiary corporations of the US Federal Government. The market value of the </w:t>
      </w:r>
      <w:r w:rsidR="00F74019" w:rsidRPr="00C828D9">
        <w:rPr>
          <w:rFonts w:cs="Times New Roman"/>
          <w:lang w:val="en"/>
        </w:rPr>
        <w:t>collateral</w:t>
      </w:r>
      <w:r w:rsidRPr="00C828D9">
        <w:rPr>
          <w:rFonts w:cs="Times New Roman"/>
          <w:lang w:val="en"/>
        </w:rPr>
        <w:t xml:space="preserve"> shall be 102% of the repurchase agreement investment.</w:t>
      </w:r>
    </w:p>
    <w:p w:rsidR="00B10F9A" w:rsidRPr="00C828D9" w:rsidRDefault="00B10F9A" w:rsidP="00C828D9">
      <w:pPr>
        <w:numPr>
          <w:ilvl w:val="1"/>
          <w:numId w:val="3"/>
        </w:numPr>
        <w:tabs>
          <w:tab w:val="clear" w:pos="1440"/>
        </w:tabs>
        <w:ind w:left="1080"/>
        <w:jc w:val="both"/>
        <w:rPr>
          <w:rFonts w:cs="Times New Roman"/>
          <w:lang w:val="en"/>
        </w:rPr>
      </w:pPr>
      <w:r w:rsidRPr="00C828D9">
        <w:rPr>
          <w:rFonts w:cs="Times New Roman"/>
          <w:lang w:val="en"/>
        </w:rPr>
        <w:t>U.S. dollar denominated commercial paper issued or guaranteed by a domestic or foreign corporation, company, financial institution, trust or other entity.</w:t>
      </w:r>
    </w:p>
    <w:p w:rsidR="009B1E75" w:rsidRPr="00C828D9" w:rsidRDefault="009B1E75" w:rsidP="00C828D9">
      <w:pPr>
        <w:numPr>
          <w:ilvl w:val="1"/>
          <w:numId w:val="3"/>
        </w:numPr>
        <w:tabs>
          <w:tab w:val="clear" w:pos="1440"/>
        </w:tabs>
        <w:ind w:left="1080"/>
        <w:jc w:val="both"/>
        <w:rPr>
          <w:rFonts w:cs="Times New Roman"/>
          <w:lang w:val="en"/>
        </w:rPr>
      </w:pPr>
      <w:r w:rsidRPr="00C828D9">
        <w:rPr>
          <w:rFonts w:cs="Times New Roman"/>
          <w:lang w:val="en"/>
        </w:rPr>
        <w:t>Bankers’ acceptances issued, drawn on or guaranteed by a U.S. bank or U.S. branch of a foreign bank.</w:t>
      </w:r>
    </w:p>
    <w:p w:rsidR="009B1E75" w:rsidRPr="00C828D9" w:rsidRDefault="009B1E75" w:rsidP="00C828D9">
      <w:pPr>
        <w:numPr>
          <w:ilvl w:val="1"/>
          <w:numId w:val="3"/>
        </w:numPr>
        <w:tabs>
          <w:tab w:val="clear" w:pos="1440"/>
        </w:tabs>
        <w:ind w:left="1080"/>
        <w:jc w:val="both"/>
        <w:rPr>
          <w:rFonts w:cs="Times New Roman"/>
          <w:lang w:val="en"/>
        </w:rPr>
      </w:pPr>
      <w:r w:rsidRPr="00C828D9">
        <w:rPr>
          <w:rFonts w:cs="Times New Roman"/>
          <w:lang w:val="en"/>
        </w:rPr>
        <w:t>Interest bearing time certificates of deposit, savings accounts, or deposit accounts fully insured by the Federal Deposit Insurance Corporation (FDIC) or the National Credit Union Administration (NCUA), or collateralized in accordance with State of Arkansas laws.</w:t>
      </w:r>
    </w:p>
    <w:p w:rsidR="00032F5F" w:rsidRPr="00C828D9" w:rsidRDefault="00032F5F" w:rsidP="00C828D9">
      <w:pPr>
        <w:numPr>
          <w:ilvl w:val="1"/>
          <w:numId w:val="3"/>
        </w:numPr>
        <w:tabs>
          <w:tab w:val="clear" w:pos="1440"/>
        </w:tabs>
        <w:ind w:left="1080"/>
        <w:jc w:val="both"/>
        <w:rPr>
          <w:rFonts w:cs="Times New Roman"/>
          <w:lang w:val="en"/>
        </w:rPr>
      </w:pPr>
      <w:r w:rsidRPr="00C828D9">
        <w:rPr>
          <w:rFonts w:cs="Times New Roman"/>
          <w:lang w:val="en"/>
        </w:rPr>
        <w:t>Shares in open-end and no-load money market funds, provided such funds are registered under the Investment Company Act of 1940 and operate in accordance with Rule 2a-7. Before investing in any mutual fund, the university shall obtain a copy of the fund’s prospectus and review permitted investments, fees and management structure. At no time shall the System own more than 20% of the total net assets of the mutual fund series.</w:t>
      </w:r>
    </w:p>
    <w:p w:rsidR="00032F5F" w:rsidRPr="00C828D9" w:rsidRDefault="00032F5F" w:rsidP="00C828D9">
      <w:pPr>
        <w:numPr>
          <w:ilvl w:val="1"/>
          <w:numId w:val="3"/>
        </w:numPr>
        <w:tabs>
          <w:tab w:val="clear" w:pos="1440"/>
        </w:tabs>
        <w:ind w:left="1080"/>
        <w:jc w:val="both"/>
        <w:rPr>
          <w:rFonts w:cs="Times New Roman"/>
          <w:lang w:val="en"/>
        </w:rPr>
      </w:pPr>
      <w:r w:rsidRPr="00C828D9">
        <w:rPr>
          <w:rFonts w:cs="Times New Roman"/>
          <w:lang w:val="en"/>
        </w:rPr>
        <w:t>Shares in open-end and no-load fixed-income mutual funds or exchange-traded funds (ETFs) whose underlying investments would be permitted for purchase under this policy and all its restrictions.</w:t>
      </w:r>
    </w:p>
    <w:p w:rsidR="009B5A52" w:rsidRPr="00C828D9" w:rsidRDefault="009B5A52" w:rsidP="0097351E">
      <w:pPr>
        <w:numPr>
          <w:ilvl w:val="0"/>
          <w:numId w:val="3"/>
        </w:numPr>
        <w:jc w:val="both"/>
        <w:rPr>
          <w:rFonts w:cs="Times New Roman"/>
          <w:lang w:val="en"/>
        </w:rPr>
      </w:pPr>
      <w:r w:rsidRPr="00C828D9">
        <w:rPr>
          <w:rFonts w:cs="Times New Roman"/>
          <w:lang w:val="en"/>
        </w:rPr>
        <w:t>The average duration of the portfolio will range from 0.3 to 1.25 years and will typically average 0.75 to 1 year.</w:t>
      </w:r>
    </w:p>
    <w:p w:rsidR="009B5A52" w:rsidRPr="00C828D9" w:rsidRDefault="009B5A52" w:rsidP="00190657">
      <w:pPr>
        <w:numPr>
          <w:ilvl w:val="0"/>
          <w:numId w:val="3"/>
        </w:numPr>
        <w:contextualSpacing/>
        <w:jc w:val="both"/>
        <w:rPr>
          <w:rFonts w:cs="Times New Roman"/>
          <w:lang w:val="en"/>
        </w:rPr>
      </w:pPr>
      <w:r w:rsidRPr="00C828D9">
        <w:rPr>
          <w:rFonts w:cs="Times New Roman"/>
          <w:lang w:val="en"/>
        </w:rPr>
        <w:t>The maximum maturity (average life) of any individual holding shall not exceed 3 years.</w:t>
      </w:r>
    </w:p>
    <w:p w:rsidR="00032F5F" w:rsidRPr="00C828D9" w:rsidRDefault="00032F5F" w:rsidP="00032F5F">
      <w:pPr>
        <w:ind w:left="720"/>
        <w:contextualSpacing/>
        <w:jc w:val="both"/>
        <w:rPr>
          <w:rFonts w:cs="Times New Roman"/>
          <w:lang w:val="en"/>
        </w:rPr>
      </w:pPr>
    </w:p>
    <w:p w:rsidR="00C430A0" w:rsidRPr="00C828D9" w:rsidRDefault="00C430A0" w:rsidP="00C430A0">
      <w:pPr>
        <w:spacing w:before="100" w:beforeAutospacing="1" w:after="100" w:afterAutospacing="1" w:line="240" w:lineRule="auto"/>
        <w:contextualSpacing/>
        <w:rPr>
          <w:rFonts w:eastAsia="Times New Roman" w:cs="Times New Roman"/>
          <w:szCs w:val="24"/>
          <w:lang w:val="en"/>
        </w:rPr>
      </w:pPr>
      <w:r w:rsidRPr="00C430A0">
        <w:rPr>
          <w:rFonts w:eastAsia="Times New Roman" w:cs="Times New Roman"/>
          <w:bCs/>
          <w:szCs w:val="24"/>
          <w:lang w:val="en"/>
        </w:rPr>
        <w:t>PORTFOLIO DIVERSIFICATION</w:t>
      </w:r>
    </w:p>
    <w:p w:rsidR="00C430A0" w:rsidRPr="00C430A0" w:rsidRDefault="00C430A0" w:rsidP="00C828D9">
      <w:pPr>
        <w:spacing w:before="100" w:beforeAutospacing="1" w:after="100" w:afterAutospacing="1"/>
        <w:contextualSpacing/>
        <w:jc w:val="both"/>
        <w:rPr>
          <w:rFonts w:eastAsia="Times New Roman" w:cs="Times New Roman"/>
          <w:szCs w:val="24"/>
          <w:lang w:val="en"/>
        </w:rPr>
      </w:pPr>
      <w:r w:rsidRPr="00C430A0">
        <w:rPr>
          <w:rFonts w:eastAsia="Times New Roman" w:cs="Times New Roman"/>
          <w:szCs w:val="24"/>
          <w:lang w:val="en"/>
        </w:rPr>
        <w:br/>
        <w:t>The</w:t>
      </w:r>
      <w:r w:rsidRPr="00C828D9">
        <w:rPr>
          <w:rFonts w:eastAsia="Times New Roman" w:cs="Times New Roman"/>
          <w:szCs w:val="24"/>
          <w:lang w:val="en"/>
        </w:rPr>
        <w:t xml:space="preserve"> System</w:t>
      </w:r>
      <w:r w:rsidRPr="00C430A0">
        <w:rPr>
          <w:rFonts w:eastAsia="Times New Roman" w:cs="Times New Roman"/>
          <w:szCs w:val="24"/>
          <w:lang w:val="en"/>
        </w:rPr>
        <w:t xml:space="preserve">’s funds shall be diversified to avoid incurring unreasonable risks inherent in over-investing in specific instruments, individual financial institutions or maturities. The maximum </w:t>
      </w:r>
      <w:r w:rsidRPr="00C430A0">
        <w:rPr>
          <w:rFonts w:eastAsia="Times New Roman" w:cs="Times New Roman"/>
          <w:szCs w:val="24"/>
          <w:lang w:val="en"/>
        </w:rPr>
        <w:lastRenderedPageBreak/>
        <w:t xml:space="preserve">percentage of the </w:t>
      </w:r>
      <w:r w:rsidR="00D42B26" w:rsidRPr="00C828D9">
        <w:rPr>
          <w:rFonts w:eastAsia="Times New Roman" w:cs="Times New Roman"/>
          <w:szCs w:val="24"/>
          <w:lang w:val="en"/>
        </w:rPr>
        <w:t>System</w:t>
      </w:r>
      <w:r w:rsidRPr="00C430A0">
        <w:rPr>
          <w:rFonts w:eastAsia="Times New Roman" w:cs="Times New Roman"/>
          <w:szCs w:val="24"/>
          <w:lang w:val="en"/>
        </w:rPr>
        <w:t xml:space="preserve">’s funds permitted in each eligible security based on book value at the date of acquisition shall be as follows: </w:t>
      </w:r>
    </w:p>
    <w:tbl>
      <w:tblPr>
        <w:tblStyle w:val="TableGrid"/>
        <w:tblW w:w="5051" w:type="pct"/>
        <w:tblInd w:w="-95" w:type="dxa"/>
        <w:tblLook w:val="04A0" w:firstRow="1" w:lastRow="0" w:firstColumn="1" w:lastColumn="0" w:noHBand="0" w:noVBand="1"/>
      </w:tblPr>
      <w:tblGrid>
        <w:gridCol w:w="1915"/>
        <w:gridCol w:w="1285"/>
        <w:gridCol w:w="1330"/>
        <w:gridCol w:w="3553"/>
        <w:gridCol w:w="1362"/>
      </w:tblGrid>
      <w:tr w:rsidR="00C828D9" w:rsidRPr="00C430A0" w:rsidTr="00C2484A">
        <w:trPr>
          <w:trHeight w:val="800"/>
        </w:trPr>
        <w:tc>
          <w:tcPr>
            <w:tcW w:w="1014" w:type="pct"/>
            <w:hideMark/>
          </w:tcPr>
          <w:p w:rsidR="00C430A0" w:rsidRPr="00C430A0" w:rsidRDefault="00C430A0" w:rsidP="00C430A0">
            <w:pPr>
              <w:spacing w:after="300"/>
              <w:rPr>
                <w:rFonts w:eastAsia="Times New Roman" w:cs="Times New Roman"/>
                <w:b/>
                <w:bCs/>
                <w:sz w:val="21"/>
                <w:szCs w:val="21"/>
              </w:rPr>
            </w:pPr>
            <w:r w:rsidRPr="00C430A0">
              <w:rPr>
                <w:rFonts w:eastAsia="Times New Roman" w:cs="Times New Roman"/>
                <w:b/>
                <w:bCs/>
                <w:sz w:val="21"/>
                <w:szCs w:val="21"/>
              </w:rPr>
              <w:t>Sector</w:t>
            </w:r>
          </w:p>
        </w:tc>
        <w:tc>
          <w:tcPr>
            <w:tcW w:w="0" w:type="auto"/>
            <w:hideMark/>
          </w:tcPr>
          <w:p w:rsidR="00C430A0" w:rsidRPr="00C430A0" w:rsidRDefault="00C430A0" w:rsidP="00C430A0">
            <w:pPr>
              <w:spacing w:after="300"/>
              <w:rPr>
                <w:rFonts w:eastAsia="Times New Roman" w:cs="Times New Roman"/>
                <w:b/>
                <w:bCs/>
                <w:sz w:val="21"/>
                <w:szCs w:val="21"/>
              </w:rPr>
            </w:pPr>
            <w:r w:rsidRPr="00C430A0">
              <w:rPr>
                <w:rFonts w:eastAsia="Times New Roman" w:cs="Times New Roman"/>
                <w:b/>
                <w:bCs/>
                <w:sz w:val="21"/>
                <w:szCs w:val="21"/>
              </w:rPr>
              <w:t>Sector Maximum (%)</w:t>
            </w:r>
          </w:p>
        </w:tc>
        <w:tc>
          <w:tcPr>
            <w:tcW w:w="0" w:type="auto"/>
            <w:hideMark/>
          </w:tcPr>
          <w:p w:rsidR="00C430A0" w:rsidRPr="00C430A0" w:rsidRDefault="00C430A0" w:rsidP="00C430A0">
            <w:pPr>
              <w:spacing w:after="300"/>
              <w:rPr>
                <w:rFonts w:eastAsia="Times New Roman" w:cs="Times New Roman"/>
                <w:b/>
                <w:bCs/>
                <w:sz w:val="21"/>
                <w:szCs w:val="21"/>
              </w:rPr>
            </w:pPr>
            <w:r w:rsidRPr="00C430A0">
              <w:rPr>
                <w:rFonts w:eastAsia="Times New Roman" w:cs="Times New Roman"/>
                <w:b/>
                <w:bCs/>
                <w:sz w:val="21"/>
                <w:szCs w:val="21"/>
              </w:rPr>
              <w:t xml:space="preserve">Per Issuer </w:t>
            </w:r>
            <w:r w:rsidR="00C2484A" w:rsidRPr="00C828D9">
              <w:rPr>
                <w:rFonts w:eastAsia="Times New Roman" w:cs="Times New Roman"/>
                <w:b/>
                <w:bCs/>
                <w:sz w:val="21"/>
                <w:szCs w:val="21"/>
              </w:rPr>
              <w:t>Maximum (</w:t>
            </w:r>
            <w:r w:rsidRPr="00C430A0">
              <w:rPr>
                <w:rFonts w:eastAsia="Times New Roman" w:cs="Times New Roman"/>
                <w:b/>
                <w:bCs/>
                <w:sz w:val="21"/>
                <w:szCs w:val="21"/>
              </w:rPr>
              <w:t>%)</w:t>
            </w:r>
          </w:p>
        </w:tc>
        <w:tc>
          <w:tcPr>
            <w:tcW w:w="0" w:type="auto"/>
            <w:hideMark/>
          </w:tcPr>
          <w:p w:rsidR="00C430A0" w:rsidRPr="00C430A0" w:rsidRDefault="00C430A0" w:rsidP="00C430A0">
            <w:pPr>
              <w:spacing w:after="300"/>
              <w:rPr>
                <w:rFonts w:eastAsia="Times New Roman" w:cs="Times New Roman"/>
                <w:b/>
                <w:bCs/>
                <w:sz w:val="21"/>
                <w:szCs w:val="21"/>
              </w:rPr>
            </w:pPr>
            <w:r w:rsidRPr="00C430A0">
              <w:rPr>
                <w:rFonts w:eastAsia="Times New Roman" w:cs="Times New Roman"/>
                <w:b/>
                <w:bCs/>
                <w:sz w:val="21"/>
                <w:szCs w:val="21"/>
              </w:rPr>
              <w:t>Minimum Ratings Requirement</w:t>
            </w:r>
            <w:r w:rsidRPr="00C430A0">
              <w:rPr>
                <w:rFonts w:eastAsia="Times New Roman" w:cs="Times New Roman"/>
                <w:b/>
                <w:bCs/>
                <w:sz w:val="16"/>
                <w:szCs w:val="16"/>
                <w:vertAlign w:val="superscript"/>
              </w:rPr>
              <w:t>1</w:t>
            </w:r>
          </w:p>
        </w:tc>
        <w:tc>
          <w:tcPr>
            <w:tcW w:w="0" w:type="auto"/>
            <w:hideMark/>
          </w:tcPr>
          <w:p w:rsidR="00C430A0" w:rsidRPr="00C430A0" w:rsidRDefault="00C430A0" w:rsidP="00C430A0">
            <w:pPr>
              <w:spacing w:after="300"/>
              <w:rPr>
                <w:rFonts w:eastAsia="Times New Roman" w:cs="Times New Roman"/>
                <w:b/>
                <w:bCs/>
                <w:sz w:val="21"/>
                <w:szCs w:val="21"/>
              </w:rPr>
            </w:pPr>
            <w:r w:rsidRPr="00C430A0">
              <w:rPr>
                <w:rFonts w:eastAsia="Times New Roman" w:cs="Times New Roman"/>
                <w:b/>
                <w:bCs/>
                <w:sz w:val="21"/>
                <w:szCs w:val="21"/>
              </w:rPr>
              <w:t>Maximum Maturity</w:t>
            </w:r>
          </w:p>
        </w:tc>
      </w:tr>
      <w:tr w:rsidR="00C828D9" w:rsidRPr="00C430A0" w:rsidTr="00C2484A">
        <w:tc>
          <w:tcPr>
            <w:tcW w:w="1014" w:type="pct"/>
            <w:hideMark/>
          </w:tcPr>
          <w:p w:rsidR="00C430A0" w:rsidRPr="00C430A0" w:rsidRDefault="00C430A0" w:rsidP="00C430A0">
            <w:pPr>
              <w:spacing w:after="300"/>
              <w:rPr>
                <w:rFonts w:eastAsia="Times New Roman" w:cs="Times New Roman"/>
                <w:sz w:val="21"/>
                <w:szCs w:val="21"/>
              </w:rPr>
            </w:pPr>
            <w:r w:rsidRPr="00C430A0">
              <w:rPr>
                <w:rFonts w:eastAsia="Times New Roman" w:cs="Times New Roman"/>
                <w:sz w:val="21"/>
                <w:szCs w:val="21"/>
              </w:rPr>
              <w:t>U.S. Treasury</w:t>
            </w:r>
          </w:p>
        </w:tc>
        <w:tc>
          <w:tcPr>
            <w:tcW w:w="0" w:type="auto"/>
            <w:hideMark/>
          </w:tcPr>
          <w:p w:rsidR="00C430A0" w:rsidRPr="00C430A0" w:rsidRDefault="00C430A0" w:rsidP="00C430A0">
            <w:pPr>
              <w:spacing w:after="300"/>
              <w:rPr>
                <w:rFonts w:eastAsia="Times New Roman" w:cs="Times New Roman"/>
                <w:sz w:val="21"/>
                <w:szCs w:val="21"/>
              </w:rPr>
            </w:pPr>
            <w:r w:rsidRPr="00C430A0">
              <w:rPr>
                <w:rFonts w:eastAsia="Times New Roman" w:cs="Times New Roman"/>
                <w:sz w:val="21"/>
                <w:szCs w:val="21"/>
              </w:rPr>
              <w:t>100%</w:t>
            </w:r>
          </w:p>
        </w:tc>
        <w:tc>
          <w:tcPr>
            <w:tcW w:w="0" w:type="auto"/>
            <w:hideMark/>
          </w:tcPr>
          <w:p w:rsidR="00C430A0" w:rsidRPr="00C430A0" w:rsidRDefault="00C430A0" w:rsidP="00C430A0">
            <w:pPr>
              <w:spacing w:after="300"/>
              <w:rPr>
                <w:rFonts w:eastAsia="Times New Roman" w:cs="Times New Roman"/>
                <w:sz w:val="21"/>
                <w:szCs w:val="21"/>
              </w:rPr>
            </w:pPr>
            <w:r w:rsidRPr="00C430A0">
              <w:rPr>
                <w:rFonts w:eastAsia="Times New Roman" w:cs="Times New Roman"/>
                <w:sz w:val="21"/>
                <w:szCs w:val="21"/>
              </w:rPr>
              <w:t>100%</w:t>
            </w:r>
          </w:p>
        </w:tc>
        <w:tc>
          <w:tcPr>
            <w:tcW w:w="0" w:type="auto"/>
            <w:hideMark/>
          </w:tcPr>
          <w:p w:rsidR="00C430A0" w:rsidRPr="00C430A0" w:rsidRDefault="00C430A0" w:rsidP="00C430A0">
            <w:pPr>
              <w:spacing w:after="300"/>
              <w:rPr>
                <w:rFonts w:eastAsia="Times New Roman" w:cs="Times New Roman"/>
                <w:sz w:val="21"/>
                <w:szCs w:val="21"/>
              </w:rPr>
            </w:pPr>
            <w:r w:rsidRPr="00C430A0">
              <w:rPr>
                <w:rFonts w:eastAsia="Times New Roman" w:cs="Times New Roman"/>
                <w:sz w:val="21"/>
                <w:szCs w:val="21"/>
              </w:rPr>
              <w:t>N/A</w:t>
            </w:r>
          </w:p>
        </w:tc>
        <w:tc>
          <w:tcPr>
            <w:tcW w:w="0" w:type="auto"/>
            <w:hideMark/>
          </w:tcPr>
          <w:p w:rsidR="00C430A0" w:rsidRPr="00C430A0" w:rsidRDefault="00C430A0" w:rsidP="00C430A0">
            <w:pPr>
              <w:spacing w:after="300"/>
              <w:rPr>
                <w:rFonts w:eastAsia="Times New Roman" w:cs="Times New Roman"/>
                <w:sz w:val="21"/>
                <w:szCs w:val="21"/>
              </w:rPr>
            </w:pPr>
            <w:r w:rsidRPr="00C430A0">
              <w:rPr>
                <w:rFonts w:eastAsia="Times New Roman" w:cs="Times New Roman"/>
                <w:sz w:val="21"/>
                <w:szCs w:val="21"/>
              </w:rPr>
              <w:t>10 Years</w:t>
            </w:r>
            <w:r w:rsidRPr="00C430A0">
              <w:rPr>
                <w:rFonts w:eastAsia="Times New Roman" w:cs="Times New Roman"/>
                <w:sz w:val="21"/>
                <w:szCs w:val="21"/>
              </w:rPr>
              <w:br/>
              <w:t>(10 year avg. life</w:t>
            </w:r>
            <w:r w:rsidRPr="00C430A0">
              <w:rPr>
                <w:rFonts w:eastAsia="Times New Roman" w:cs="Times New Roman"/>
                <w:sz w:val="16"/>
                <w:szCs w:val="16"/>
                <w:vertAlign w:val="superscript"/>
              </w:rPr>
              <w:t>4</w:t>
            </w:r>
            <w:r w:rsidRPr="00C430A0">
              <w:rPr>
                <w:rFonts w:eastAsia="Times New Roman" w:cs="Times New Roman"/>
                <w:sz w:val="21"/>
                <w:szCs w:val="21"/>
              </w:rPr>
              <w:t xml:space="preserve"> for GNMA) </w:t>
            </w:r>
          </w:p>
        </w:tc>
      </w:tr>
      <w:tr w:rsidR="00C828D9" w:rsidRPr="00C430A0" w:rsidTr="00C2484A">
        <w:tc>
          <w:tcPr>
            <w:tcW w:w="1014" w:type="pct"/>
            <w:hideMark/>
          </w:tcPr>
          <w:p w:rsidR="00C430A0" w:rsidRPr="00C430A0" w:rsidRDefault="00C430A0" w:rsidP="00C430A0">
            <w:pPr>
              <w:spacing w:after="300"/>
              <w:rPr>
                <w:rFonts w:eastAsia="Times New Roman" w:cs="Times New Roman"/>
                <w:sz w:val="21"/>
                <w:szCs w:val="21"/>
              </w:rPr>
            </w:pPr>
            <w:r w:rsidRPr="00C430A0">
              <w:rPr>
                <w:rFonts w:eastAsia="Times New Roman" w:cs="Times New Roman"/>
                <w:sz w:val="21"/>
                <w:szCs w:val="21"/>
              </w:rPr>
              <w:t>Federal Agency / Government Sponsored Enterprise</w:t>
            </w:r>
          </w:p>
        </w:tc>
        <w:tc>
          <w:tcPr>
            <w:tcW w:w="0" w:type="auto"/>
            <w:hideMark/>
          </w:tcPr>
          <w:p w:rsidR="00C430A0" w:rsidRPr="00C430A0" w:rsidRDefault="00C430A0" w:rsidP="00C430A0">
            <w:pPr>
              <w:spacing w:after="300"/>
              <w:rPr>
                <w:rFonts w:eastAsia="Times New Roman" w:cs="Times New Roman"/>
                <w:sz w:val="21"/>
                <w:szCs w:val="21"/>
              </w:rPr>
            </w:pPr>
            <w:r w:rsidRPr="00C430A0">
              <w:rPr>
                <w:rFonts w:eastAsia="Times New Roman" w:cs="Times New Roman"/>
                <w:sz w:val="21"/>
                <w:szCs w:val="21"/>
              </w:rPr>
              <w:t>100%</w:t>
            </w:r>
          </w:p>
        </w:tc>
        <w:tc>
          <w:tcPr>
            <w:tcW w:w="0" w:type="auto"/>
            <w:hideMark/>
          </w:tcPr>
          <w:p w:rsidR="00C430A0" w:rsidRPr="00C430A0" w:rsidRDefault="00C430A0" w:rsidP="00C430A0">
            <w:pPr>
              <w:spacing w:after="300"/>
              <w:rPr>
                <w:rFonts w:eastAsia="Times New Roman" w:cs="Times New Roman"/>
                <w:sz w:val="21"/>
                <w:szCs w:val="21"/>
              </w:rPr>
            </w:pPr>
            <w:r w:rsidRPr="00C430A0">
              <w:rPr>
                <w:rFonts w:eastAsia="Times New Roman" w:cs="Times New Roman"/>
                <w:sz w:val="21"/>
                <w:szCs w:val="21"/>
              </w:rPr>
              <w:t>35%</w:t>
            </w:r>
            <w:r w:rsidRPr="00C430A0">
              <w:rPr>
                <w:rFonts w:eastAsia="Times New Roman" w:cs="Times New Roman"/>
                <w:sz w:val="16"/>
                <w:szCs w:val="16"/>
                <w:vertAlign w:val="superscript"/>
              </w:rPr>
              <w:t>3</w:t>
            </w:r>
          </w:p>
        </w:tc>
        <w:tc>
          <w:tcPr>
            <w:tcW w:w="0" w:type="auto"/>
            <w:hideMark/>
          </w:tcPr>
          <w:p w:rsidR="00C430A0" w:rsidRPr="00C430A0" w:rsidRDefault="00C430A0" w:rsidP="00C430A0">
            <w:pPr>
              <w:spacing w:after="300"/>
              <w:rPr>
                <w:rFonts w:eastAsia="Times New Roman" w:cs="Times New Roman"/>
                <w:sz w:val="21"/>
                <w:szCs w:val="21"/>
              </w:rPr>
            </w:pPr>
            <w:r w:rsidRPr="00C430A0">
              <w:rPr>
                <w:rFonts w:eastAsia="Times New Roman" w:cs="Times New Roman"/>
                <w:sz w:val="21"/>
                <w:szCs w:val="21"/>
              </w:rPr>
              <w:t>Highest short-term</w:t>
            </w:r>
            <w:r w:rsidRPr="00C430A0">
              <w:rPr>
                <w:rFonts w:eastAsia="Times New Roman" w:cs="Times New Roman"/>
                <w:sz w:val="16"/>
                <w:szCs w:val="16"/>
                <w:vertAlign w:val="superscript"/>
              </w:rPr>
              <w:t>4</w:t>
            </w:r>
            <w:r w:rsidRPr="00C430A0">
              <w:rPr>
                <w:rFonts w:eastAsia="Times New Roman" w:cs="Times New Roman"/>
                <w:sz w:val="21"/>
                <w:szCs w:val="21"/>
              </w:rPr>
              <w:t xml:space="preserve"> or one of the two highest long-term rating categories</w:t>
            </w:r>
            <w:r w:rsidRPr="00C430A0">
              <w:rPr>
                <w:rFonts w:eastAsia="Times New Roman" w:cs="Times New Roman"/>
                <w:sz w:val="21"/>
                <w:szCs w:val="21"/>
              </w:rPr>
              <w:br/>
              <w:t xml:space="preserve">(A-1/P-1, AA-/Aa3 or equivalent) </w:t>
            </w:r>
          </w:p>
        </w:tc>
        <w:tc>
          <w:tcPr>
            <w:tcW w:w="0" w:type="auto"/>
            <w:hideMark/>
          </w:tcPr>
          <w:p w:rsidR="00C430A0" w:rsidRPr="00C430A0" w:rsidRDefault="00C430A0" w:rsidP="00C430A0">
            <w:pPr>
              <w:spacing w:after="300"/>
              <w:rPr>
                <w:rFonts w:eastAsia="Times New Roman" w:cs="Times New Roman"/>
                <w:sz w:val="21"/>
                <w:szCs w:val="21"/>
              </w:rPr>
            </w:pPr>
            <w:r w:rsidRPr="00C430A0">
              <w:rPr>
                <w:rFonts w:eastAsia="Times New Roman" w:cs="Times New Roman"/>
                <w:sz w:val="21"/>
                <w:szCs w:val="21"/>
              </w:rPr>
              <w:t>10 Years</w:t>
            </w:r>
          </w:p>
        </w:tc>
      </w:tr>
      <w:tr w:rsidR="00C828D9" w:rsidRPr="00C430A0" w:rsidTr="00C2484A">
        <w:tc>
          <w:tcPr>
            <w:tcW w:w="1014" w:type="pct"/>
            <w:hideMark/>
          </w:tcPr>
          <w:p w:rsidR="00C430A0" w:rsidRPr="00C430A0" w:rsidRDefault="00C430A0" w:rsidP="00C430A0">
            <w:pPr>
              <w:spacing w:after="300"/>
              <w:rPr>
                <w:rFonts w:eastAsia="Times New Roman" w:cs="Times New Roman"/>
                <w:sz w:val="21"/>
                <w:szCs w:val="21"/>
              </w:rPr>
            </w:pPr>
            <w:r w:rsidRPr="00C430A0">
              <w:rPr>
                <w:rFonts w:eastAsia="Times New Roman" w:cs="Times New Roman"/>
                <w:sz w:val="21"/>
                <w:szCs w:val="21"/>
              </w:rPr>
              <w:t>Commercial Paper</w:t>
            </w:r>
          </w:p>
        </w:tc>
        <w:tc>
          <w:tcPr>
            <w:tcW w:w="0" w:type="auto"/>
            <w:hideMark/>
          </w:tcPr>
          <w:p w:rsidR="00C430A0" w:rsidRPr="00C430A0" w:rsidRDefault="00C430A0" w:rsidP="00C430A0">
            <w:pPr>
              <w:spacing w:after="300"/>
              <w:rPr>
                <w:rFonts w:eastAsia="Times New Roman" w:cs="Times New Roman"/>
                <w:sz w:val="21"/>
                <w:szCs w:val="21"/>
              </w:rPr>
            </w:pPr>
            <w:r w:rsidRPr="00C430A0">
              <w:rPr>
                <w:rFonts w:eastAsia="Times New Roman" w:cs="Times New Roman"/>
                <w:sz w:val="21"/>
                <w:szCs w:val="21"/>
              </w:rPr>
              <w:t>35%</w:t>
            </w:r>
          </w:p>
        </w:tc>
        <w:tc>
          <w:tcPr>
            <w:tcW w:w="0" w:type="auto"/>
            <w:hideMark/>
          </w:tcPr>
          <w:p w:rsidR="00C430A0" w:rsidRPr="00C430A0" w:rsidRDefault="00C430A0" w:rsidP="00C430A0">
            <w:pPr>
              <w:spacing w:after="300"/>
              <w:rPr>
                <w:rFonts w:eastAsia="Times New Roman" w:cs="Times New Roman"/>
                <w:sz w:val="21"/>
                <w:szCs w:val="21"/>
              </w:rPr>
            </w:pPr>
            <w:r w:rsidRPr="00C430A0">
              <w:rPr>
                <w:rFonts w:eastAsia="Times New Roman" w:cs="Times New Roman"/>
                <w:sz w:val="21"/>
                <w:szCs w:val="21"/>
              </w:rPr>
              <w:t>5%</w:t>
            </w:r>
            <w:r w:rsidRPr="00C430A0">
              <w:rPr>
                <w:rFonts w:eastAsia="Times New Roman" w:cs="Times New Roman"/>
                <w:sz w:val="16"/>
                <w:szCs w:val="16"/>
                <w:vertAlign w:val="superscript"/>
              </w:rPr>
              <w:t>2</w:t>
            </w:r>
          </w:p>
        </w:tc>
        <w:tc>
          <w:tcPr>
            <w:tcW w:w="0" w:type="auto"/>
            <w:hideMark/>
          </w:tcPr>
          <w:p w:rsidR="00C430A0" w:rsidRPr="00C430A0" w:rsidRDefault="00C430A0" w:rsidP="00C430A0">
            <w:pPr>
              <w:spacing w:after="300"/>
              <w:rPr>
                <w:rFonts w:eastAsia="Times New Roman" w:cs="Times New Roman"/>
                <w:sz w:val="21"/>
                <w:szCs w:val="21"/>
              </w:rPr>
            </w:pPr>
            <w:r w:rsidRPr="00C430A0">
              <w:rPr>
                <w:rFonts w:eastAsia="Times New Roman" w:cs="Times New Roman"/>
                <w:sz w:val="21"/>
                <w:szCs w:val="21"/>
              </w:rPr>
              <w:t>Highest short-term rating category</w:t>
            </w:r>
            <w:r w:rsidRPr="00C430A0">
              <w:rPr>
                <w:rFonts w:eastAsia="Times New Roman" w:cs="Times New Roman"/>
                <w:sz w:val="16"/>
                <w:szCs w:val="16"/>
                <w:vertAlign w:val="superscript"/>
              </w:rPr>
              <w:t>4</w:t>
            </w:r>
            <w:r w:rsidRPr="00C430A0">
              <w:rPr>
                <w:rFonts w:eastAsia="Times New Roman" w:cs="Times New Roman"/>
                <w:sz w:val="21"/>
                <w:szCs w:val="21"/>
              </w:rPr>
              <w:t xml:space="preserve">(A-1/P-1, or equivalent) </w:t>
            </w:r>
          </w:p>
        </w:tc>
        <w:tc>
          <w:tcPr>
            <w:tcW w:w="0" w:type="auto"/>
            <w:hideMark/>
          </w:tcPr>
          <w:p w:rsidR="00C430A0" w:rsidRPr="00C430A0" w:rsidRDefault="00C430A0" w:rsidP="00C430A0">
            <w:pPr>
              <w:spacing w:after="300"/>
              <w:rPr>
                <w:rFonts w:eastAsia="Times New Roman" w:cs="Times New Roman"/>
                <w:sz w:val="21"/>
                <w:szCs w:val="21"/>
              </w:rPr>
            </w:pPr>
            <w:r w:rsidRPr="00C430A0">
              <w:rPr>
                <w:rFonts w:eastAsia="Times New Roman" w:cs="Times New Roman"/>
                <w:sz w:val="21"/>
                <w:szCs w:val="21"/>
              </w:rPr>
              <w:t>270 Days</w:t>
            </w:r>
          </w:p>
        </w:tc>
      </w:tr>
      <w:tr w:rsidR="00C828D9" w:rsidRPr="00C430A0" w:rsidTr="00C2484A">
        <w:tc>
          <w:tcPr>
            <w:tcW w:w="1014" w:type="pct"/>
            <w:hideMark/>
          </w:tcPr>
          <w:p w:rsidR="00C430A0" w:rsidRPr="00C430A0" w:rsidRDefault="00C430A0" w:rsidP="00C430A0">
            <w:pPr>
              <w:spacing w:after="300"/>
              <w:rPr>
                <w:rFonts w:eastAsia="Times New Roman" w:cs="Times New Roman"/>
                <w:sz w:val="21"/>
                <w:szCs w:val="21"/>
              </w:rPr>
            </w:pPr>
            <w:r w:rsidRPr="00C430A0">
              <w:rPr>
                <w:rFonts w:eastAsia="Times New Roman" w:cs="Times New Roman"/>
                <w:sz w:val="21"/>
                <w:szCs w:val="21"/>
              </w:rPr>
              <w:t>Bankers’ Acceptances</w:t>
            </w:r>
          </w:p>
        </w:tc>
        <w:tc>
          <w:tcPr>
            <w:tcW w:w="0" w:type="auto"/>
            <w:hideMark/>
          </w:tcPr>
          <w:p w:rsidR="00C430A0" w:rsidRPr="00C430A0" w:rsidRDefault="00C430A0" w:rsidP="00C430A0">
            <w:pPr>
              <w:spacing w:after="300"/>
              <w:rPr>
                <w:rFonts w:eastAsia="Times New Roman" w:cs="Times New Roman"/>
                <w:sz w:val="21"/>
                <w:szCs w:val="21"/>
              </w:rPr>
            </w:pPr>
            <w:r w:rsidRPr="00C430A0">
              <w:rPr>
                <w:rFonts w:eastAsia="Times New Roman" w:cs="Times New Roman"/>
                <w:sz w:val="21"/>
                <w:szCs w:val="21"/>
              </w:rPr>
              <w:t>10%</w:t>
            </w:r>
          </w:p>
        </w:tc>
        <w:tc>
          <w:tcPr>
            <w:tcW w:w="0" w:type="auto"/>
            <w:hideMark/>
          </w:tcPr>
          <w:p w:rsidR="00C430A0" w:rsidRPr="00C430A0" w:rsidRDefault="00C430A0" w:rsidP="00C430A0">
            <w:pPr>
              <w:spacing w:after="300"/>
              <w:rPr>
                <w:rFonts w:eastAsia="Times New Roman" w:cs="Times New Roman"/>
                <w:sz w:val="21"/>
                <w:szCs w:val="21"/>
              </w:rPr>
            </w:pPr>
            <w:r w:rsidRPr="00C430A0">
              <w:rPr>
                <w:rFonts w:eastAsia="Times New Roman" w:cs="Times New Roman"/>
                <w:sz w:val="21"/>
                <w:szCs w:val="21"/>
              </w:rPr>
              <w:t>5%</w:t>
            </w:r>
            <w:r w:rsidRPr="00C430A0">
              <w:rPr>
                <w:rFonts w:eastAsia="Times New Roman" w:cs="Times New Roman"/>
                <w:sz w:val="16"/>
                <w:szCs w:val="16"/>
                <w:vertAlign w:val="superscript"/>
              </w:rPr>
              <w:t>2</w:t>
            </w:r>
          </w:p>
        </w:tc>
        <w:tc>
          <w:tcPr>
            <w:tcW w:w="0" w:type="auto"/>
            <w:hideMark/>
          </w:tcPr>
          <w:p w:rsidR="00C430A0" w:rsidRPr="00C430A0" w:rsidRDefault="00C430A0" w:rsidP="00C430A0">
            <w:pPr>
              <w:spacing w:after="300"/>
              <w:rPr>
                <w:rFonts w:eastAsia="Times New Roman" w:cs="Times New Roman"/>
                <w:sz w:val="21"/>
                <w:szCs w:val="21"/>
              </w:rPr>
            </w:pPr>
            <w:r w:rsidRPr="00C430A0">
              <w:rPr>
                <w:rFonts w:eastAsia="Times New Roman" w:cs="Times New Roman"/>
                <w:sz w:val="21"/>
                <w:szCs w:val="21"/>
              </w:rPr>
              <w:t>Highest short-term rating category</w:t>
            </w:r>
            <w:r w:rsidRPr="00C430A0">
              <w:rPr>
                <w:rFonts w:eastAsia="Times New Roman" w:cs="Times New Roman"/>
                <w:sz w:val="16"/>
                <w:szCs w:val="16"/>
                <w:vertAlign w:val="superscript"/>
              </w:rPr>
              <w:t>4</w:t>
            </w:r>
            <w:r w:rsidRPr="00C430A0">
              <w:rPr>
                <w:rFonts w:eastAsia="Times New Roman" w:cs="Times New Roman"/>
                <w:sz w:val="21"/>
                <w:szCs w:val="21"/>
              </w:rPr>
              <w:t xml:space="preserve">(A-1/P-1, or equivalent) </w:t>
            </w:r>
          </w:p>
        </w:tc>
        <w:tc>
          <w:tcPr>
            <w:tcW w:w="0" w:type="auto"/>
            <w:hideMark/>
          </w:tcPr>
          <w:p w:rsidR="00C430A0" w:rsidRPr="00C430A0" w:rsidRDefault="00C430A0" w:rsidP="00C430A0">
            <w:pPr>
              <w:spacing w:after="300"/>
              <w:rPr>
                <w:rFonts w:eastAsia="Times New Roman" w:cs="Times New Roman"/>
                <w:sz w:val="21"/>
                <w:szCs w:val="21"/>
              </w:rPr>
            </w:pPr>
            <w:r w:rsidRPr="00C430A0">
              <w:rPr>
                <w:rFonts w:eastAsia="Times New Roman" w:cs="Times New Roman"/>
                <w:sz w:val="21"/>
                <w:szCs w:val="21"/>
              </w:rPr>
              <w:t>180 Days</w:t>
            </w:r>
          </w:p>
        </w:tc>
      </w:tr>
      <w:tr w:rsidR="00C828D9" w:rsidRPr="00C430A0" w:rsidTr="00C2484A">
        <w:tc>
          <w:tcPr>
            <w:tcW w:w="1014" w:type="pct"/>
            <w:hideMark/>
          </w:tcPr>
          <w:p w:rsidR="00C430A0" w:rsidRPr="00C430A0" w:rsidRDefault="00C430A0" w:rsidP="00C430A0">
            <w:pPr>
              <w:spacing w:after="300"/>
              <w:rPr>
                <w:rFonts w:eastAsia="Times New Roman" w:cs="Times New Roman"/>
                <w:sz w:val="21"/>
                <w:szCs w:val="21"/>
              </w:rPr>
            </w:pPr>
            <w:r w:rsidRPr="00C430A0">
              <w:rPr>
                <w:rFonts w:eastAsia="Times New Roman" w:cs="Times New Roman"/>
                <w:sz w:val="21"/>
                <w:szCs w:val="21"/>
              </w:rPr>
              <w:t>Negotiable Certificates of Deposits</w:t>
            </w:r>
          </w:p>
        </w:tc>
        <w:tc>
          <w:tcPr>
            <w:tcW w:w="0" w:type="auto"/>
            <w:hideMark/>
          </w:tcPr>
          <w:p w:rsidR="00C430A0" w:rsidRPr="00C430A0" w:rsidRDefault="00C430A0" w:rsidP="00C430A0">
            <w:pPr>
              <w:spacing w:after="300"/>
              <w:rPr>
                <w:rFonts w:eastAsia="Times New Roman" w:cs="Times New Roman"/>
                <w:sz w:val="21"/>
                <w:szCs w:val="21"/>
              </w:rPr>
            </w:pPr>
            <w:r w:rsidRPr="00C430A0">
              <w:rPr>
                <w:rFonts w:eastAsia="Times New Roman" w:cs="Times New Roman"/>
                <w:sz w:val="21"/>
                <w:szCs w:val="21"/>
              </w:rPr>
              <w:t>25%</w:t>
            </w:r>
          </w:p>
        </w:tc>
        <w:tc>
          <w:tcPr>
            <w:tcW w:w="0" w:type="auto"/>
            <w:hideMark/>
          </w:tcPr>
          <w:p w:rsidR="00C430A0" w:rsidRPr="00C430A0" w:rsidRDefault="00C430A0" w:rsidP="00C430A0">
            <w:pPr>
              <w:spacing w:after="300"/>
              <w:rPr>
                <w:rFonts w:eastAsia="Times New Roman" w:cs="Times New Roman"/>
                <w:sz w:val="21"/>
                <w:szCs w:val="21"/>
              </w:rPr>
            </w:pPr>
            <w:r w:rsidRPr="00C430A0">
              <w:rPr>
                <w:rFonts w:eastAsia="Times New Roman" w:cs="Times New Roman"/>
                <w:sz w:val="21"/>
                <w:szCs w:val="21"/>
              </w:rPr>
              <w:t>5%</w:t>
            </w:r>
            <w:r w:rsidRPr="00C430A0">
              <w:rPr>
                <w:rFonts w:eastAsia="Times New Roman" w:cs="Times New Roman"/>
                <w:sz w:val="16"/>
                <w:szCs w:val="16"/>
                <w:vertAlign w:val="superscript"/>
              </w:rPr>
              <w:t>2</w:t>
            </w:r>
          </w:p>
        </w:tc>
        <w:tc>
          <w:tcPr>
            <w:tcW w:w="0" w:type="auto"/>
            <w:hideMark/>
          </w:tcPr>
          <w:p w:rsidR="00C430A0" w:rsidRPr="00C430A0" w:rsidRDefault="00C430A0" w:rsidP="00C430A0">
            <w:pPr>
              <w:spacing w:after="300"/>
              <w:rPr>
                <w:rFonts w:eastAsia="Times New Roman" w:cs="Times New Roman"/>
                <w:sz w:val="21"/>
                <w:szCs w:val="21"/>
              </w:rPr>
            </w:pPr>
            <w:r w:rsidRPr="00C430A0">
              <w:rPr>
                <w:rFonts w:eastAsia="Times New Roman" w:cs="Times New Roman"/>
                <w:sz w:val="21"/>
                <w:szCs w:val="21"/>
              </w:rPr>
              <w:t>Highest short-term</w:t>
            </w:r>
            <w:r w:rsidRPr="00C430A0">
              <w:rPr>
                <w:rFonts w:eastAsia="Times New Roman" w:cs="Times New Roman"/>
                <w:sz w:val="16"/>
                <w:szCs w:val="16"/>
                <w:vertAlign w:val="superscript"/>
              </w:rPr>
              <w:t>4</w:t>
            </w:r>
            <w:r w:rsidRPr="00C430A0">
              <w:rPr>
                <w:rFonts w:eastAsia="Times New Roman" w:cs="Times New Roman"/>
                <w:sz w:val="21"/>
                <w:szCs w:val="21"/>
              </w:rPr>
              <w:t xml:space="preserve"> or one of the three highest long-term rating categories</w:t>
            </w:r>
            <w:r w:rsidRPr="00C430A0">
              <w:rPr>
                <w:rFonts w:eastAsia="Times New Roman" w:cs="Times New Roman"/>
                <w:sz w:val="21"/>
                <w:szCs w:val="21"/>
              </w:rPr>
              <w:br/>
              <w:t xml:space="preserve">(A-1/P-1, A-/A3 or equivalent) </w:t>
            </w:r>
          </w:p>
        </w:tc>
        <w:tc>
          <w:tcPr>
            <w:tcW w:w="0" w:type="auto"/>
            <w:hideMark/>
          </w:tcPr>
          <w:p w:rsidR="00C430A0" w:rsidRPr="00C430A0" w:rsidRDefault="00C430A0" w:rsidP="00C430A0">
            <w:pPr>
              <w:spacing w:after="300"/>
              <w:rPr>
                <w:rFonts w:eastAsia="Times New Roman" w:cs="Times New Roman"/>
                <w:sz w:val="21"/>
                <w:szCs w:val="21"/>
              </w:rPr>
            </w:pPr>
            <w:r w:rsidRPr="00C430A0">
              <w:rPr>
                <w:rFonts w:eastAsia="Times New Roman" w:cs="Times New Roman"/>
                <w:sz w:val="21"/>
                <w:szCs w:val="21"/>
              </w:rPr>
              <w:t>5 Years</w:t>
            </w:r>
          </w:p>
        </w:tc>
      </w:tr>
      <w:tr w:rsidR="00C828D9" w:rsidRPr="00C430A0" w:rsidTr="00C2484A">
        <w:tc>
          <w:tcPr>
            <w:tcW w:w="1014" w:type="pct"/>
            <w:hideMark/>
          </w:tcPr>
          <w:p w:rsidR="00C430A0" w:rsidRPr="00C430A0" w:rsidRDefault="00C430A0" w:rsidP="00C430A0">
            <w:pPr>
              <w:spacing w:after="300"/>
              <w:rPr>
                <w:rFonts w:eastAsia="Times New Roman" w:cs="Times New Roman"/>
                <w:sz w:val="21"/>
                <w:szCs w:val="21"/>
              </w:rPr>
            </w:pPr>
            <w:r w:rsidRPr="00C430A0">
              <w:rPr>
                <w:rFonts w:eastAsia="Times New Roman" w:cs="Times New Roman"/>
                <w:sz w:val="21"/>
                <w:szCs w:val="21"/>
              </w:rPr>
              <w:t>Collateralized Bank Deposits</w:t>
            </w:r>
          </w:p>
        </w:tc>
        <w:tc>
          <w:tcPr>
            <w:tcW w:w="0" w:type="auto"/>
            <w:hideMark/>
          </w:tcPr>
          <w:p w:rsidR="00C430A0" w:rsidRPr="00C430A0" w:rsidRDefault="00C430A0" w:rsidP="00C430A0">
            <w:pPr>
              <w:spacing w:after="300"/>
              <w:rPr>
                <w:rFonts w:eastAsia="Times New Roman" w:cs="Times New Roman"/>
                <w:sz w:val="21"/>
                <w:szCs w:val="21"/>
              </w:rPr>
            </w:pPr>
            <w:r w:rsidRPr="00C430A0">
              <w:rPr>
                <w:rFonts w:eastAsia="Times New Roman" w:cs="Times New Roman"/>
                <w:sz w:val="21"/>
                <w:szCs w:val="21"/>
              </w:rPr>
              <w:t>50%</w:t>
            </w:r>
          </w:p>
        </w:tc>
        <w:tc>
          <w:tcPr>
            <w:tcW w:w="0" w:type="auto"/>
            <w:hideMark/>
          </w:tcPr>
          <w:p w:rsidR="00C430A0" w:rsidRPr="00C430A0" w:rsidRDefault="00C430A0" w:rsidP="00C430A0">
            <w:pPr>
              <w:spacing w:after="300"/>
              <w:rPr>
                <w:rFonts w:eastAsia="Times New Roman" w:cs="Times New Roman"/>
                <w:sz w:val="21"/>
                <w:szCs w:val="21"/>
              </w:rPr>
            </w:pPr>
            <w:r w:rsidRPr="00C430A0">
              <w:rPr>
                <w:rFonts w:eastAsia="Times New Roman" w:cs="Times New Roman"/>
                <w:sz w:val="21"/>
                <w:szCs w:val="21"/>
              </w:rPr>
              <w:t>25%</w:t>
            </w:r>
          </w:p>
        </w:tc>
        <w:tc>
          <w:tcPr>
            <w:tcW w:w="0" w:type="auto"/>
            <w:hideMark/>
          </w:tcPr>
          <w:p w:rsidR="00C430A0" w:rsidRPr="00C430A0" w:rsidRDefault="00C430A0" w:rsidP="00C430A0">
            <w:pPr>
              <w:spacing w:after="300"/>
              <w:rPr>
                <w:rFonts w:eastAsia="Times New Roman" w:cs="Times New Roman"/>
                <w:sz w:val="21"/>
                <w:szCs w:val="21"/>
              </w:rPr>
            </w:pPr>
            <w:r w:rsidRPr="00C430A0">
              <w:rPr>
                <w:rFonts w:eastAsia="Times New Roman" w:cs="Times New Roman"/>
                <w:sz w:val="21"/>
                <w:szCs w:val="21"/>
              </w:rPr>
              <w:t>None, if fully insured or collateralized.</w:t>
            </w:r>
          </w:p>
        </w:tc>
        <w:tc>
          <w:tcPr>
            <w:tcW w:w="0" w:type="auto"/>
            <w:hideMark/>
          </w:tcPr>
          <w:p w:rsidR="00C430A0" w:rsidRPr="00C430A0" w:rsidRDefault="00C430A0" w:rsidP="00C430A0">
            <w:pPr>
              <w:spacing w:after="300"/>
              <w:rPr>
                <w:rFonts w:eastAsia="Times New Roman" w:cs="Times New Roman"/>
                <w:sz w:val="21"/>
                <w:szCs w:val="21"/>
              </w:rPr>
            </w:pPr>
            <w:r w:rsidRPr="00C430A0">
              <w:rPr>
                <w:rFonts w:eastAsia="Times New Roman" w:cs="Times New Roman"/>
                <w:sz w:val="21"/>
                <w:szCs w:val="21"/>
              </w:rPr>
              <w:t>2 Years</w:t>
            </w:r>
          </w:p>
        </w:tc>
      </w:tr>
      <w:tr w:rsidR="00C828D9" w:rsidRPr="00C430A0" w:rsidTr="00C2484A">
        <w:tc>
          <w:tcPr>
            <w:tcW w:w="1014" w:type="pct"/>
            <w:hideMark/>
          </w:tcPr>
          <w:p w:rsidR="00C430A0" w:rsidRPr="00C430A0" w:rsidRDefault="00C430A0" w:rsidP="00C430A0">
            <w:pPr>
              <w:spacing w:after="300"/>
              <w:rPr>
                <w:rFonts w:eastAsia="Times New Roman" w:cs="Times New Roman"/>
                <w:sz w:val="21"/>
                <w:szCs w:val="21"/>
              </w:rPr>
            </w:pPr>
            <w:r w:rsidRPr="00C430A0">
              <w:rPr>
                <w:rFonts w:eastAsia="Times New Roman" w:cs="Times New Roman"/>
                <w:sz w:val="21"/>
                <w:szCs w:val="21"/>
              </w:rPr>
              <w:t>Insured Bank Deposits</w:t>
            </w:r>
          </w:p>
        </w:tc>
        <w:tc>
          <w:tcPr>
            <w:tcW w:w="0" w:type="auto"/>
            <w:hideMark/>
          </w:tcPr>
          <w:p w:rsidR="00C430A0" w:rsidRPr="00C430A0" w:rsidRDefault="00C430A0" w:rsidP="00C430A0">
            <w:pPr>
              <w:spacing w:after="300"/>
              <w:rPr>
                <w:rFonts w:eastAsia="Times New Roman" w:cs="Times New Roman"/>
                <w:sz w:val="21"/>
                <w:szCs w:val="21"/>
              </w:rPr>
            </w:pPr>
            <w:r w:rsidRPr="00C430A0">
              <w:rPr>
                <w:rFonts w:eastAsia="Times New Roman" w:cs="Times New Roman"/>
                <w:sz w:val="21"/>
                <w:szCs w:val="21"/>
              </w:rPr>
              <w:t>25%</w:t>
            </w:r>
          </w:p>
        </w:tc>
        <w:tc>
          <w:tcPr>
            <w:tcW w:w="0" w:type="auto"/>
            <w:hideMark/>
          </w:tcPr>
          <w:p w:rsidR="00C430A0" w:rsidRPr="00C430A0" w:rsidRDefault="00C430A0" w:rsidP="00C430A0">
            <w:pPr>
              <w:spacing w:after="300"/>
              <w:rPr>
                <w:rFonts w:eastAsia="Times New Roman" w:cs="Times New Roman"/>
                <w:sz w:val="21"/>
                <w:szCs w:val="21"/>
              </w:rPr>
            </w:pPr>
            <w:r w:rsidRPr="00C430A0">
              <w:rPr>
                <w:rFonts w:eastAsia="Times New Roman" w:cs="Times New Roman"/>
                <w:sz w:val="21"/>
                <w:szCs w:val="21"/>
              </w:rPr>
              <w:t>FDIC limit</w:t>
            </w:r>
            <w:r w:rsidR="00D42B26" w:rsidRPr="00C828D9">
              <w:rPr>
                <w:rFonts w:eastAsia="Times New Roman" w:cs="Times New Roman"/>
                <w:sz w:val="21"/>
                <w:szCs w:val="21"/>
              </w:rPr>
              <w:t xml:space="preserve"> </w:t>
            </w:r>
            <w:r w:rsidRPr="00C430A0">
              <w:rPr>
                <w:rFonts w:eastAsia="Times New Roman" w:cs="Times New Roman"/>
                <w:sz w:val="21"/>
                <w:szCs w:val="21"/>
              </w:rPr>
              <w:t>for insurance</w:t>
            </w:r>
          </w:p>
        </w:tc>
        <w:tc>
          <w:tcPr>
            <w:tcW w:w="0" w:type="auto"/>
            <w:hideMark/>
          </w:tcPr>
          <w:p w:rsidR="00C430A0" w:rsidRPr="00C430A0" w:rsidRDefault="00C430A0" w:rsidP="00C430A0">
            <w:pPr>
              <w:spacing w:after="300"/>
              <w:rPr>
                <w:rFonts w:eastAsia="Times New Roman" w:cs="Times New Roman"/>
                <w:sz w:val="21"/>
                <w:szCs w:val="21"/>
              </w:rPr>
            </w:pPr>
            <w:r w:rsidRPr="00C430A0">
              <w:rPr>
                <w:rFonts w:eastAsia="Times New Roman" w:cs="Times New Roman"/>
                <w:sz w:val="21"/>
                <w:szCs w:val="21"/>
              </w:rPr>
              <w:t>None, if fully FDIC-insured.</w:t>
            </w:r>
          </w:p>
        </w:tc>
        <w:tc>
          <w:tcPr>
            <w:tcW w:w="0" w:type="auto"/>
            <w:hideMark/>
          </w:tcPr>
          <w:p w:rsidR="00C430A0" w:rsidRPr="00C430A0" w:rsidRDefault="00C430A0" w:rsidP="00C430A0">
            <w:pPr>
              <w:spacing w:after="300"/>
              <w:rPr>
                <w:rFonts w:eastAsia="Times New Roman" w:cs="Times New Roman"/>
                <w:sz w:val="21"/>
                <w:szCs w:val="21"/>
              </w:rPr>
            </w:pPr>
            <w:r w:rsidRPr="00C430A0">
              <w:rPr>
                <w:rFonts w:eastAsia="Times New Roman" w:cs="Times New Roman"/>
                <w:sz w:val="21"/>
                <w:szCs w:val="21"/>
              </w:rPr>
              <w:t>2 Years</w:t>
            </w:r>
          </w:p>
        </w:tc>
      </w:tr>
      <w:tr w:rsidR="00C828D9" w:rsidRPr="00C430A0" w:rsidTr="00C2484A">
        <w:tc>
          <w:tcPr>
            <w:tcW w:w="1014" w:type="pct"/>
            <w:hideMark/>
          </w:tcPr>
          <w:p w:rsidR="00C430A0" w:rsidRPr="00C430A0" w:rsidRDefault="00C430A0" w:rsidP="00C430A0">
            <w:pPr>
              <w:spacing w:after="300"/>
              <w:rPr>
                <w:rFonts w:eastAsia="Times New Roman" w:cs="Times New Roman"/>
                <w:sz w:val="21"/>
                <w:szCs w:val="21"/>
              </w:rPr>
            </w:pPr>
            <w:r w:rsidRPr="00C430A0">
              <w:rPr>
                <w:rFonts w:eastAsia="Times New Roman" w:cs="Times New Roman"/>
                <w:sz w:val="21"/>
                <w:szCs w:val="21"/>
              </w:rPr>
              <w:t>Repurchase Agreements</w:t>
            </w:r>
          </w:p>
        </w:tc>
        <w:tc>
          <w:tcPr>
            <w:tcW w:w="0" w:type="auto"/>
            <w:hideMark/>
          </w:tcPr>
          <w:p w:rsidR="00C430A0" w:rsidRPr="00C430A0" w:rsidRDefault="00C430A0" w:rsidP="00C430A0">
            <w:pPr>
              <w:spacing w:after="300"/>
              <w:rPr>
                <w:rFonts w:eastAsia="Times New Roman" w:cs="Times New Roman"/>
                <w:sz w:val="21"/>
                <w:szCs w:val="21"/>
              </w:rPr>
            </w:pPr>
            <w:r w:rsidRPr="00C430A0">
              <w:rPr>
                <w:rFonts w:eastAsia="Times New Roman" w:cs="Times New Roman"/>
                <w:sz w:val="21"/>
                <w:szCs w:val="21"/>
              </w:rPr>
              <w:t>50%</w:t>
            </w:r>
          </w:p>
        </w:tc>
        <w:tc>
          <w:tcPr>
            <w:tcW w:w="0" w:type="auto"/>
            <w:hideMark/>
          </w:tcPr>
          <w:p w:rsidR="00C430A0" w:rsidRPr="00C430A0" w:rsidRDefault="00C430A0" w:rsidP="00C430A0">
            <w:pPr>
              <w:spacing w:after="300"/>
              <w:rPr>
                <w:rFonts w:eastAsia="Times New Roman" w:cs="Times New Roman"/>
                <w:sz w:val="21"/>
                <w:szCs w:val="21"/>
              </w:rPr>
            </w:pPr>
            <w:r w:rsidRPr="00C430A0">
              <w:rPr>
                <w:rFonts w:eastAsia="Times New Roman" w:cs="Times New Roman"/>
                <w:sz w:val="21"/>
                <w:szCs w:val="21"/>
              </w:rPr>
              <w:t>50%</w:t>
            </w:r>
          </w:p>
        </w:tc>
        <w:tc>
          <w:tcPr>
            <w:tcW w:w="0" w:type="auto"/>
            <w:hideMark/>
          </w:tcPr>
          <w:p w:rsidR="00C430A0" w:rsidRPr="00C430A0" w:rsidRDefault="00C430A0" w:rsidP="00C430A0">
            <w:pPr>
              <w:spacing w:after="300"/>
              <w:rPr>
                <w:rFonts w:eastAsia="Times New Roman" w:cs="Times New Roman"/>
                <w:sz w:val="21"/>
                <w:szCs w:val="21"/>
              </w:rPr>
            </w:pPr>
            <w:r w:rsidRPr="00C430A0">
              <w:rPr>
                <w:rFonts w:eastAsia="Times New Roman" w:cs="Times New Roman"/>
                <w:sz w:val="21"/>
                <w:szCs w:val="21"/>
              </w:rPr>
              <w:t>Counterparty (or if the counterparty is not rated by a Nationally Recognized Statistical Rating Organization "NRSRO", then the counterparty’s parent) must be rated in the highest short-term rating category</w:t>
            </w:r>
            <w:r w:rsidRPr="00C430A0">
              <w:rPr>
                <w:rFonts w:eastAsia="Times New Roman" w:cs="Times New Roman"/>
                <w:sz w:val="21"/>
                <w:szCs w:val="21"/>
              </w:rPr>
              <w:br/>
              <w:t xml:space="preserve">(A-1/P-1, or equivalent) </w:t>
            </w:r>
          </w:p>
        </w:tc>
        <w:tc>
          <w:tcPr>
            <w:tcW w:w="0" w:type="auto"/>
            <w:hideMark/>
          </w:tcPr>
          <w:p w:rsidR="00C430A0" w:rsidRPr="00C430A0" w:rsidRDefault="00C430A0" w:rsidP="00C430A0">
            <w:pPr>
              <w:spacing w:after="300"/>
              <w:rPr>
                <w:rFonts w:eastAsia="Times New Roman" w:cs="Times New Roman"/>
                <w:sz w:val="21"/>
                <w:szCs w:val="21"/>
              </w:rPr>
            </w:pPr>
            <w:r w:rsidRPr="00C430A0">
              <w:rPr>
                <w:rFonts w:eastAsia="Times New Roman" w:cs="Times New Roman"/>
                <w:sz w:val="21"/>
                <w:szCs w:val="21"/>
              </w:rPr>
              <w:t>90 days</w:t>
            </w:r>
          </w:p>
        </w:tc>
      </w:tr>
      <w:tr w:rsidR="00C828D9" w:rsidRPr="00C430A0" w:rsidTr="00C2484A">
        <w:tc>
          <w:tcPr>
            <w:tcW w:w="1014" w:type="pct"/>
            <w:hideMark/>
          </w:tcPr>
          <w:p w:rsidR="00C430A0" w:rsidRPr="00C430A0" w:rsidRDefault="00C430A0" w:rsidP="00C430A0">
            <w:pPr>
              <w:spacing w:after="300"/>
              <w:rPr>
                <w:rFonts w:eastAsia="Times New Roman" w:cs="Times New Roman"/>
                <w:sz w:val="21"/>
                <w:szCs w:val="21"/>
              </w:rPr>
            </w:pPr>
            <w:r w:rsidRPr="00C430A0">
              <w:rPr>
                <w:rFonts w:eastAsia="Times New Roman" w:cs="Times New Roman"/>
                <w:sz w:val="21"/>
                <w:szCs w:val="21"/>
              </w:rPr>
              <w:t>Money Market Funds</w:t>
            </w:r>
          </w:p>
        </w:tc>
        <w:tc>
          <w:tcPr>
            <w:tcW w:w="0" w:type="auto"/>
            <w:hideMark/>
          </w:tcPr>
          <w:p w:rsidR="00C430A0" w:rsidRPr="00C430A0" w:rsidRDefault="00C430A0" w:rsidP="00C430A0">
            <w:pPr>
              <w:spacing w:after="300"/>
              <w:rPr>
                <w:rFonts w:eastAsia="Times New Roman" w:cs="Times New Roman"/>
                <w:sz w:val="21"/>
                <w:szCs w:val="21"/>
              </w:rPr>
            </w:pPr>
            <w:r w:rsidRPr="00C430A0">
              <w:rPr>
                <w:rFonts w:eastAsia="Times New Roman" w:cs="Times New Roman"/>
                <w:sz w:val="21"/>
                <w:szCs w:val="21"/>
              </w:rPr>
              <w:t>75%</w:t>
            </w:r>
          </w:p>
        </w:tc>
        <w:tc>
          <w:tcPr>
            <w:tcW w:w="0" w:type="auto"/>
            <w:hideMark/>
          </w:tcPr>
          <w:p w:rsidR="00C430A0" w:rsidRPr="00C430A0" w:rsidRDefault="00C430A0" w:rsidP="00C430A0">
            <w:pPr>
              <w:spacing w:after="300"/>
              <w:rPr>
                <w:rFonts w:eastAsia="Times New Roman" w:cs="Times New Roman"/>
                <w:sz w:val="21"/>
                <w:szCs w:val="21"/>
              </w:rPr>
            </w:pPr>
            <w:r w:rsidRPr="00C430A0">
              <w:rPr>
                <w:rFonts w:eastAsia="Times New Roman" w:cs="Times New Roman"/>
                <w:sz w:val="21"/>
                <w:szCs w:val="21"/>
              </w:rPr>
              <w:t>50%</w:t>
            </w:r>
          </w:p>
        </w:tc>
        <w:tc>
          <w:tcPr>
            <w:tcW w:w="0" w:type="auto"/>
            <w:hideMark/>
          </w:tcPr>
          <w:p w:rsidR="00C430A0" w:rsidRPr="00C430A0" w:rsidRDefault="00C430A0" w:rsidP="00C430A0">
            <w:pPr>
              <w:spacing w:after="300"/>
              <w:rPr>
                <w:rFonts w:eastAsia="Times New Roman" w:cs="Times New Roman"/>
                <w:sz w:val="21"/>
                <w:szCs w:val="21"/>
              </w:rPr>
            </w:pPr>
            <w:r w:rsidRPr="00C430A0">
              <w:rPr>
                <w:rFonts w:eastAsia="Times New Roman" w:cs="Times New Roman"/>
                <w:sz w:val="21"/>
                <w:szCs w:val="21"/>
              </w:rPr>
              <w:t>AAAm</w:t>
            </w:r>
          </w:p>
        </w:tc>
        <w:tc>
          <w:tcPr>
            <w:tcW w:w="0" w:type="auto"/>
            <w:hideMark/>
          </w:tcPr>
          <w:p w:rsidR="00C430A0" w:rsidRPr="00C430A0" w:rsidRDefault="00C430A0" w:rsidP="00C430A0">
            <w:pPr>
              <w:spacing w:after="300"/>
              <w:rPr>
                <w:rFonts w:eastAsia="Times New Roman" w:cs="Times New Roman"/>
                <w:sz w:val="21"/>
                <w:szCs w:val="21"/>
              </w:rPr>
            </w:pPr>
            <w:r w:rsidRPr="00C430A0">
              <w:rPr>
                <w:rFonts w:eastAsia="Times New Roman" w:cs="Times New Roman"/>
                <w:sz w:val="21"/>
                <w:szCs w:val="21"/>
              </w:rPr>
              <w:t>N/A</w:t>
            </w:r>
          </w:p>
        </w:tc>
      </w:tr>
      <w:tr w:rsidR="00C828D9" w:rsidRPr="00C430A0" w:rsidTr="00C2484A">
        <w:tc>
          <w:tcPr>
            <w:tcW w:w="1014" w:type="pct"/>
            <w:hideMark/>
          </w:tcPr>
          <w:p w:rsidR="00C430A0" w:rsidRPr="00C430A0" w:rsidRDefault="00C430A0" w:rsidP="00C430A0">
            <w:pPr>
              <w:spacing w:after="300"/>
              <w:rPr>
                <w:rFonts w:eastAsia="Times New Roman" w:cs="Times New Roman"/>
                <w:sz w:val="21"/>
                <w:szCs w:val="21"/>
              </w:rPr>
            </w:pPr>
            <w:r w:rsidRPr="00C430A0">
              <w:rPr>
                <w:rFonts w:eastAsia="Times New Roman" w:cs="Times New Roman"/>
                <w:sz w:val="21"/>
                <w:szCs w:val="21"/>
              </w:rPr>
              <w:t>Fixed-Income</w:t>
            </w:r>
            <w:r w:rsidR="00C2484A" w:rsidRPr="00C828D9">
              <w:rPr>
                <w:rFonts w:eastAsia="Times New Roman" w:cs="Times New Roman"/>
                <w:sz w:val="21"/>
                <w:szCs w:val="21"/>
              </w:rPr>
              <w:t xml:space="preserve"> </w:t>
            </w:r>
            <w:r w:rsidRPr="00C430A0">
              <w:rPr>
                <w:rFonts w:eastAsia="Times New Roman" w:cs="Times New Roman"/>
                <w:sz w:val="21"/>
                <w:szCs w:val="21"/>
              </w:rPr>
              <w:t>Mutual Funds &amp; ETFs</w:t>
            </w:r>
          </w:p>
        </w:tc>
        <w:tc>
          <w:tcPr>
            <w:tcW w:w="0" w:type="auto"/>
            <w:hideMark/>
          </w:tcPr>
          <w:p w:rsidR="00C430A0" w:rsidRPr="00C430A0" w:rsidRDefault="00C430A0" w:rsidP="00C430A0">
            <w:pPr>
              <w:spacing w:after="300"/>
              <w:rPr>
                <w:rFonts w:eastAsia="Times New Roman" w:cs="Times New Roman"/>
                <w:sz w:val="21"/>
                <w:szCs w:val="21"/>
              </w:rPr>
            </w:pPr>
            <w:r w:rsidRPr="00C430A0">
              <w:rPr>
                <w:rFonts w:eastAsia="Times New Roman" w:cs="Times New Roman"/>
                <w:sz w:val="21"/>
                <w:szCs w:val="21"/>
              </w:rPr>
              <w:t>40%</w:t>
            </w:r>
          </w:p>
        </w:tc>
        <w:tc>
          <w:tcPr>
            <w:tcW w:w="0" w:type="auto"/>
            <w:hideMark/>
          </w:tcPr>
          <w:p w:rsidR="00C430A0" w:rsidRPr="00C430A0" w:rsidRDefault="00C430A0" w:rsidP="00C430A0">
            <w:pPr>
              <w:spacing w:after="300"/>
              <w:rPr>
                <w:rFonts w:eastAsia="Times New Roman" w:cs="Times New Roman"/>
                <w:sz w:val="21"/>
                <w:szCs w:val="21"/>
              </w:rPr>
            </w:pPr>
            <w:r w:rsidRPr="00C430A0">
              <w:rPr>
                <w:rFonts w:eastAsia="Times New Roman" w:cs="Times New Roman"/>
                <w:sz w:val="21"/>
                <w:szCs w:val="21"/>
              </w:rPr>
              <w:t>20%</w:t>
            </w:r>
          </w:p>
        </w:tc>
        <w:tc>
          <w:tcPr>
            <w:tcW w:w="0" w:type="auto"/>
            <w:hideMark/>
          </w:tcPr>
          <w:p w:rsidR="00C430A0" w:rsidRPr="00C430A0" w:rsidRDefault="00C430A0" w:rsidP="00C430A0">
            <w:pPr>
              <w:spacing w:after="300"/>
              <w:rPr>
                <w:rFonts w:eastAsia="Times New Roman" w:cs="Times New Roman"/>
                <w:sz w:val="21"/>
                <w:szCs w:val="21"/>
              </w:rPr>
            </w:pPr>
            <w:r w:rsidRPr="00C430A0">
              <w:rPr>
                <w:rFonts w:eastAsia="Times New Roman" w:cs="Times New Roman"/>
                <w:sz w:val="21"/>
                <w:szCs w:val="21"/>
              </w:rPr>
              <w:t>N/A</w:t>
            </w:r>
          </w:p>
        </w:tc>
        <w:tc>
          <w:tcPr>
            <w:tcW w:w="0" w:type="auto"/>
            <w:hideMark/>
          </w:tcPr>
          <w:p w:rsidR="00C430A0" w:rsidRPr="00C430A0" w:rsidRDefault="00C430A0" w:rsidP="00C430A0">
            <w:pPr>
              <w:spacing w:after="300"/>
              <w:rPr>
                <w:rFonts w:eastAsia="Times New Roman" w:cs="Times New Roman"/>
                <w:sz w:val="21"/>
                <w:szCs w:val="21"/>
              </w:rPr>
            </w:pPr>
            <w:r w:rsidRPr="00C430A0">
              <w:rPr>
                <w:rFonts w:eastAsia="Times New Roman" w:cs="Times New Roman"/>
                <w:sz w:val="21"/>
                <w:szCs w:val="21"/>
              </w:rPr>
              <w:t>N/A</w:t>
            </w:r>
          </w:p>
        </w:tc>
      </w:tr>
    </w:tbl>
    <w:p w:rsidR="00032F5F" w:rsidRPr="00C828D9" w:rsidRDefault="00190657" w:rsidP="00190657">
      <w:pPr>
        <w:contextualSpacing/>
        <w:rPr>
          <w:rFonts w:cs="Times New Roman"/>
          <w:sz w:val="20"/>
          <w:szCs w:val="20"/>
          <w:lang w:val="en"/>
        </w:rPr>
      </w:pPr>
      <w:r w:rsidRPr="00C828D9">
        <w:rPr>
          <w:rFonts w:cs="Times New Roman"/>
          <w:sz w:val="20"/>
          <w:szCs w:val="20"/>
          <w:lang w:val="en"/>
        </w:rPr>
        <w:t>Notes:</w:t>
      </w:r>
      <w:r w:rsidRPr="00C828D9">
        <w:rPr>
          <w:rFonts w:cs="Times New Roman"/>
          <w:sz w:val="20"/>
          <w:szCs w:val="20"/>
          <w:lang w:val="en"/>
        </w:rPr>
        <w:br/>
      </w:r>
      <w:r w:rsidRPr="00C828D9">
        <w:rPr>
          <w:rFonts w:cs="Times New Roman"/>
          <w:sz w:val="20"/>
          <w:szCs w:val="20"/>
          <w:vertAlign w:val="superscript"/>
          <w:lang w:val="en"/>
        </w:rPr>
        <w:t>1</w:t>
      </w:r>
      <w:r w:rsidRPr="00C828D9">
        <w:rPr>
          <w:rFonts w:cs="Times New Roman"/>
          <w:sz w:val="20"/>
          <w:szCs w:val="20"/>
          <w:lang w:val="en"/>
        </w:rPr>
        <w:t xml:space="preserve"> Denotes minimum rating by at least two SEC-registered Nationally Recognized Statistical Rating Organization ("NRSRO"), unless otherwise noted.</w:t>
      </w:r>
      <w:r w:rsidRPr="00C828D9">
        <w:rPr>
          <w:rFonts w:cs="Times New Roman"/>
          <w:sz w:val="20"/>
          <w:szCs w:val="20"/>
          <w:lang w:val="en"/>
        </w:rPr>
        <w:br/>
      </w:r>
      <w:r w:rsidRPr="00C828D9">
        <w:rPr>
          <w:rFonts w:cs="Times New Roman"/>
          <w:sz w:val="20"/>
          <w:szCs w:val="20"/>
          <w:vertAlign w:val="superscript"/>
          <w:lang w:val="en"/>
        </w:rPr>
        <w:lastRenderedPageBreak/>
        <w:t>2</w:t>
      </w:r>
      <w:r w:rsidRPr="00C828D9">
        <w:rPr>
          <w:rFonts w:cs="Times New Roman"/>
          <w:sz w:val="20"/>
          <w:szCs w:val="20"/>
          <w:lang w:val="en"/>
        </w:rPr>
        <w:t xml:space="preserve"> Maximum across all non-government permitted investment sectors (excluding treasuries, U.S. federal agencies and government sponsored enterprises) is 5% combined per issuer.</w:t>
      </w:r>
      <w:r w:rsidRPr="00C828D9">
        <w:rPr>
          <w:rFonts w:cs="Times New Roman"/>
          <w:sz w:val="20"/>
          <w:szCs w:val="20"/>
          <w:lang w:val="en"/>
        </w:rPr>
        <w:br/>
      </w:r>
      <w:r w:rsidRPr="00C828D9">
        <w:rPr>
          <w:rFonts w:cs="Times New Roman"/>
          <w:sz w:val="20"/>
          <w:szCs w:val="20"/>
          <w:vertAlign w:val="superscript"/>
          <w:lang w:val="en"/>
        </w:rPr>
        <w:t>3</w:t>
      </w:r>
      <w:r w:rsidRPr="00C828D9">
        <w:rPr>
          <w:rFonts w:cs="Times New Roman"/>
          <w:sz w:val="20"/>
          <w:szCs w:val="20"/>
          <w:lang w:val="en"/>
        </w:rPr>
        <w:t xml:space="preserve"> Maximum exposure to any one federal agency is 35%.</w:t>
      </w:r>
      <w:r w:rsidRPr="00C828D9">
        <w:rPr>
          <w:rFonts w:cs="Times New Roman"/>
          <w:sz w:val="20"/>
          <w:szCs w:val="20"/>
          <w:lang w:val="en"/>
        </w:rPr>
        <w:br/>
      </w:r>
      <w:r w:rsidRPr="00C828D9">
        <w:rPr>
          <w:rFonts w:cs="Times New Roman"/>
          <w:sz w:val="20"/>
          <w:szCs w:val="20"/>
          <w:vertAlign w:val="superscript"/>
          <w:lang w:val="en"/>
        </w:rPr>
        <w:t>4</w:t>
      </w:r>
      <w:r w:rsidRPr="00C828D9">
        <w:rPr>
          <w:rFonts w:cs="Times New Roman"/>
          <w:sz w:val="20"/>
          <w:szCs w:val="20"/>
          <w:lang w:val="en"/>
        </w:rPr>
        <w:t xml:space="preserve"> Short-term ratings apply to securities with maturities of under one year.</w:t>
      </w:r>
    </w:p>
    <w:p w:rsidR="00190657" w:rsidRPr="00C828D9" w:rsidRDefault="00190657" w:rsidP="00190657">
      <w:pPr>
        <w:contextualSpacing/>
        <w:rPr>
          <w:rFonts w:cs="Times New Roman"/>
          <w:lang w:val="en"/>
        </w:rPr>
      </w:pPr>
    </w:p>
    <w:p w:rsidR="00456D87" w:rsidRPr="00C828D9" w:rsidRDefault="00456D87" w:rsidP="00190657">
      <w:pPr>
        <w:contextualSpacing/>
        <w:rPr>
          <w:rFonts w:cs="Times New Roman"/>
          <w:bCs/>
          <w:lang w:val="en"/>
        </w:rPr>
      </w:pPr>
      <w:r w:rsidRPr="00C828D9">
        <w:rPr>
          <w:rFonts w:cs="Times New Roman"/>
          <w:bCs/>
          <w:lang w:val="en"/>
        </w:rPr>
        <w:t>SECURITY DOWNGRADES</w:t>
      </w:r>
    </w:p>
    <w:p w:rsidR="00190657" w:rsidRPr="00C828D9" w:rsidRDefault="00456D87" w:rsidP="00456D87">
      <w:pPr>
        <w:contextualSpacing/>
        <w:jc w:val="both"/>
        <w:rPr>
          <w:rFonts w:cs="Times New Roman"/>
          <w:lang w:val="en"/>
        </w:rPr>
      </w:pPr>
      <w:r w:rsidRPr="00C828D9">
        <w:rPr>
          <w:rFonts w:cs="Times New Roman"/>
          <w:lang w:val="en"/>
        </w:rPr>
        <w:br/>
      </w:r>
      <w:r w:rsidR="004B704D">
        <w:rPr>
          <w:rFonts w:cs="Times New Roman"/>
          <w:lang w:val="en"/>
        </w:rPr>
        <w:t>In the event that any security held in the Short Term investment fund is downgraded below the minimum required credit rating for purchase, t</w:t>
      </w:r>
      <w:r w:rsidRPr="00C828D9">
        <w:rPr>
          <w:rFonts w:cs="Times New Roman"/>
          <w:lang w:val="en"/>
        </w:rPr>
        <w:t xml:space="preserve">he Investment Advisory Committee </w:t>
      </w:r>
      <w:r w:rsidR="004B704D">
        <w:rPr>
          <w:rFonts w:cs="Times New Roman"/>
          <w:lang w:val="en"/>
        </w:rPr>
        <w:t>shall require the external investment advisor to notify the Committee,</w:t>
      </w:r>
      <w:r w:rsidRPr="00C828D9">
        <w:rPr>
          <w:rFonts w:cs="Times New Roman"/>
          <w:lang w:val="en"/>
        </w:rPr>
        <w:t xml:space="preserve"> in writing, within five business days after </w:t>
      </w:r>
      <w:r w:rsidR="004B704D">
        <w:rPr>
          <w:rFonts w:cs="Times New Roman"/>
          <w:lang w:val="en"/>
        </w:rPr>
        <w:t>the</w:t>
      </w:r>
      <w:r w:rsidRPr="00C828D9">
        <w:rPr>
          <w:rFonts w:cs="Times New Roman"/>
          <w:lang w:val="en"/>
        </w:rPr>
        <w:t xml:space="preserve"> security fails to meet the credit quality limitations.</w:t>
      </w:r>
    </w:p>
    <w:p w:rsidR="00190657" w:rsidRPr="00C828D9" w:rsidRDefault="00190657" w:rsidP="00190657">
      <w:pPr>
        <w:contextualSpacing/>
        <w:rPr>
          <w:rFonts w:cs="Times New Roman"/>
          <w:lang w:val="en"/>
        </w:rPr>
      </w:pPr>
    </w:p>
    <w:p w:rsidR="00456D87" w:rsidRPr="00C828D9" w:rsidRDefault="00456D87" w:rsidP="00456D87">
      <w:pPr>
        <w:jc w:val="both"/>
        <w:rPr>
          <w:rFonts w:cs="Times New Roman"/>
        </w:rPr>
      </w:pPr>
      <w:r w:rsidRPr="00C828D9">
        <w:rPr>
          <w:rFonts w:cs="Times New Roman"/>
        </w:rPr>
        <w:t>PROHIBITED INVESTMENTS</w:t>
      </w:r>
    </w:p>
    <w:p w:rsidR="00456D87" w:rsidRPr="00C828D9" w:rsidRDefault="00456D87" w:rsidP="00C828D9">
      <w:pPr>
        <w:contextualSpacing/>
        <w:jc w:val="both"/>
        <w:rPr>
          <w:rFonts w:cs="Times New Roman"/>
        </w:rPr>
      </w:pPr>
      <w:r w:rsidRPr="00C828D9">
        <w:rPr>
          <w:rFonts w:cs="Times New Roman"/>
        </w:rPr>
        <w:t xml:space="preserve">The following are not permitted for investments without prior approval of the Investment Advisory Committee: </w:t>
      </w:r>
    </w:p>
    <w:p w:rsidR="00456D87" w:rsidRPr="00C828D9" w:rsidRDefault="00456D87" w:rsidP="00C828D9">
      <w:pPr>
        <w:pStyle w:val="ListParagraph"/>
        <w:numPr>
          <w:ilvl w:val="0"/>
          <w:numId w:val="9"/>
        </w:numPr>
        <w:jc w:val="both"/>
        <w:rPr>
          <w:rFonts w:cs="Times New Roman"/>
        </w:rPr>
      </w:pPr>
      <w:r w:rsidRPr="00C828D9">
        <w:rPr>
          <w:rFonts w:cs="Times New Roman"/>
        </w:rPr>
        <w:t>Trading for speculation</w:t>
      </w:r>
    </w:p>
    <w:p w:rsidR="00456D87" w:rsidRPr="00C828D9" w:rsidRDefault="00456D87" w:rsidP="00C828D9">
      <w:pPr>
        <w:pStyle w:val="ListParagraph"/>
        <w:numPr>
          <w:ilvl w:val="0"/>
          <w:numId w:val="9"/>
        </w:numPr>
        <w:jc w:val="both"/>
        <w:rPr>
          <w:rFonts w:cs="Times New Roman"/>
        </w:rPr>
      </w:pPr>
      <w:r w:rsidRPr="00C828D9">
        <w:rPr>
          <w:rFonts w:cs="Times New Roman"/>
        </w:rPr>
        <w:t>Derivatives (other than callables and traditional floating or variable-rate instruments)</w:t>
      </w:r>
    </w:p>
    <w:p w:rsidR="00456D87" w:rsidRPr="00C828D9" w:rsidRDefault="00456D87" w:rsidP="00C828D9">
      <w:pPr>
        <w:pStyle w:val="ListParagraph"/>
        <w:numPr>
          <w:ilvl w:val="0"/>
          <w:numId w:val="9"/>
        </w:numPr>
        <w:jc w:val="both"/>
        <w:rPr>
          <w:rFonts w:cs="Times New Roman"/>
        </w:rPr>
      </w:pPr>
      <w:r w:rsidRPr="00C828D9">
        <w:rPr>
          <w:rFonts w:cs="Times New Roman"/>
        </w:rPr>
        <w:t>Mortgage-backed interest only structures (I/Os)</w:t>
      </w:r>
    </w:p>
    <w:p w:rsidR="00456D87" w:rsidRPr="00C828D9" w:rsidRDefault="00456D87" w:rsidP="00C828D9">
      <w:pPr>
        <w:pStyle w:val="ListParagraph"/>
        <w:numPr>
          <w:ilvl w:val="0"/>
          <w:numId w:val="9"/>
        </w:numPr>
        <w:jc w:val="both"/>
        <w:rPr>
          <w:rFonts w:cs="Times New Roman"/>
        </w:rPr>
      </w:pPr>
      <w:r w:rsidRPr="00C828D9">
        <w:rPr>
          <w:rFonts w:cs="Times New Roman"/>
        </w:rPr>
        <w:t>Inverse or leverage floating-rate and variable-rate instruments</w:t>
      </w:r>
    </w:p>
    <w:p w:rsidR="00456D87" w:rsidRPr="00C828D9" w:rsidRDefault="00456D87" w:rsidP="00C828D9">
      <w:pPr>
        <w:pStyle w:val="ListParagraph"/>
        <w:numPr>
          <w:ilvl w:val="0"/>
          <w:numId w:val="9"/>
        </w:numPr>
        <w:jc w:val="both"/>
        <w:rPr>
          <w:rFonts w:cs="Times New Roman"/>
        </w:rPr>
      </w:pPr>
      <w:r w:rsidRPr="00C828D9">
        <w:rPr>
          <w:rFonts w:cs="Times New Roman"/>
        </w:rPr>
        <w:t xml:space="preserve">Currency, equity, index, and event linked notes (e.g. range notes) or other structures that could return less than par at maturity </w:t>
      </w:r>
    </w:p>
    <w:p w:rsidR="00456D87" w:rsidRPr="00C828D9" w:rsidRDefault="00456D87" w:rsidP="00C828D9">
      <w:pPr>
        <w:pStyle w:val="ListParagraph"/>
        <w:numPr>
          <w:ilvl w:val="0"/>
          <w:numId w:val="9"/>
        </w:numPr>
        <w:jc w:val="both"/>
        <w:rPr>
          <w:rFonts w:cs="Times New Roman"/>
        </w:rPr>
      </w:pPr>
      <w:r w:rsidRPr="00C828D9">
        <w:rPr>
          <w:rFonts w:cs="Times New Roman"/>
        </w:rPr>
        <w:t>Convertible, high yield and non-U.S. denominated debt</w:t>
      </w:r>
    </w:p>
    <w:p w:rsidR="00456D87" w:rsidRPr="00C828D9" w:rsidRDefault="00456D87" w:rsidP="00C828D9">
      <w:pPr>
        <w:pStyle w:val="ListParagraph"/>
        <w:numPr>
          <w:ilvl w:val="0"/>
          <w:numId w:val="9"/>
        </w:numPr>
        <w:jc w:val="both"/>
        <w:rPr>
          <w:rFonts w:cs="Times New Roman"/>
        </w:rPr>
      </w:pPr>
      <w:r w:rsidRPr="00C828D9">
        <w:rPr>
          <w:rFonts w:cs="Times New Roman"/>
        </w:rPr>
        <w:t>Short sales</w:t>
      </w:r>
    </w:p>
    <w:p w:rsidR="00456D87" w:rsidRPr="00C828D9" w:rsidRDefault="00456D87" w:rsidP="00C828D9">
      <w:pPr>
        <w:pStyle w:val="ListParagraph"/>
        <w:numPr>
          <w:ilvl w:val="0"/>
          <w:numId w:val="9"/>
        </w:numPr>
        <w:jc w:val="both"/>
        <w:rPr>
          <w:rFonts w:cs="Times New Roman"/>
        </w:rPr>
      </w:pPr>
      <w:r w:rsidRPr="00C828D9">
        <w:rPr>
          <w:rFonts w:cs="Times New Roman"/>
        </w:rPr>
        <w:t>Use of leverage</w:t>
      </w:r>
    </w:p>
    <w:p w:rsidR="00456D87" w:rsidRPr="00C828D9" w:rsidRDefault="00456D87" w:rsidP="00C828D9">
      <w:pPr>
        <w:pStyle w:val="ListParagraph"/>
        <w:numPr>
          <w:ilvl w:val="0"/>
          <w:numId w:val="9"/>
        </w:numPr>
        <w:jc w:val="both"/>
        <w:rPr>
          <w:rFonts w:cs="Times New Roman"/>
        </w:rPr>
      </w:pPr>
      <w:r w:rsidRPr="00C828D9">
        <w:rPr>
          <w:rFonts w:cs="Times New Roman"/>
        </w:rPr>
        <w:t>Futures and options</w:t>
      </w:r>
    </w:p>
    <w:p w:rsidR="008B54E8" w:rsidRPr="00C828D9" w:rsidRDefault="00456D87" w:rsidP="00C828D9">
      <w:pPr>
        <w:pStyle w:val="ListParagraph"/>
        <w:numPr>
          <w:ilvl w:val="0"/>
          <w:numId w:val="9"/>
        </w:numPr>
        <w:jc w:val="both"/>
        <w:rPr>
          <w:rFonts w:cs="Times New Roman"/>
        </w:rPr>
      </w:pPr>
      <w:r w:rsidRPr="00C828D9">
        <w:rPr>
          <w:rFonts w:cs="Times New Roman"/>
        </w:rPr>
        <w:t>Equities, commodities, currencies and hard assets</w:t>
      </w:r>
    </w:p>
    <w:p w:rsidR="008B54E8" w:rsidRPr="00C828D9" w:rsidRDefault="008B54E8" w:rsidP="008B54E8">
      <w:pPr>
        <w:contextualSpacing/>
        <w:rPr>
          <w:rFonts w:cs="Times New Roman"/>
          <w:lang w:val="en"/>
        </w:rPr>
      </w:pPr>
      <w:r w:rsidRPr="00C828D9">
        <w:rPr>
          <w:rStyle w:val="Strong"/>
          <w:rFonts w:cs="Times New Roman"/>
          <w:b w:val="0"/>
          <w:lang w:val="en"/>
        </w:rPr>
        <w:t>COLLATERALIZATION OF BANK DEPOSITS</w:t>
      </w:r>
    </w:p>
    <w:p w:rsidR="006E49D1" w:rsidRPr="00C828D9" w:rsidRDefault="008B54E8" w:rsidP="00456D87">
      <w:pPr>
        <w:contextualSpacing/>
        <w:jc w:val="both"/>
        <w:rPr>
          <w:rFonts w:cs="Times New Roman"/>
          <w:lang w:val="en"/>
        </w:rPr>
      </w:pPr>
      <w:r w:rsidRPr="00C828D9">
        <w:rPr>
          <w:rFonts w:cs="Times New Roman"/>
          <w:lang w:val="en"/>
        </w:rPr>
        <w:br/>
        <w:t>The System requires that all cash and other bank deposits maintained in any financial institution be either insured or collateralized, including bank deposits and non-negotiable certificates of deposit. All bank deposits of the System in excess of the amount protected by federal deposit insurance shall be collateralized in accordance with State of Arkansas laws and regulations.</w:t>
      </w:r>
    </w:p>
    <w:p w:rsidR="00C828D9" w:rsidRPr="00C828D9" w:rsidRDefault="00C828D9" w:rsidP="00456D87">
      <w:pPr>
        <w:contextualSpacing/>
        <w:jc w:val="both"/>
        <w:rPr>
          <w:rFonts w:cs="Times New Roman"/>
        </w:rPr>
      </w:pPr>
    </w:p>
    <w:p w:rsidR="008B54E8" w:rsidRPr="00C828D9" w:rsidRDefault="008B54E8" w:rsidP="008B54E8">
      <w:pPr>
        <w:contextualSpacing/>
        <w:jc w:val="both"/>
        <w:rPr>
          <w:rFonts w:cs="Times New Roman"/>
        </w:rPr>
      </w:pPr>
      <w:r w:rsidRPr="00C828D9">
        <w:rPr>
          <w:rFonts w:cs="Times New Roman"/>
        </w:rPr>
        <w:t>REPORTING</w:t>
      </w:r>
    </w:p>
    <w:p w:rsidR="008B54E8" w:rsidRPr="00C828D9" w:rsidRDefault="008B54E8" w:rsidP="008B54E8">
      <w:pPr>
        <w:contextualSpacing/>
        <w:jc w:val="both"/>
        <w:rPr>
          <w:rFonts w:cs="Times New Roman"/>
        </w:rPr>
      </w:pPr>
    </w:p>
    <w:p w:rsidR="008B54E8" w:rsidRPr="00C828D9" w:rsidRDefault="008B54E8" w:rsidP="008B54E8">
      <w:pPr>
        <w:jc w:val="both"/>
        <w:rPr>
          <w:rFonts w:cs="Times New Roman"/>
        </w:rPr>
      </w:pPr>
      <w:r w:rsidRPr="00C828D9">
        <w:rPr>
          <w:rFonts w:cs="Times New Roman"/>
        </w:rPr>
        <w:t>The external investment advisor shall prepare a monthly portfolio report including: (i) a listing of the existing portfolios in terms of investment securities, amortized book value, maturity date, yield-on-cost, market value, credit ratings, and other features deemed relevant and (ii) a listing of all transactions executed during the month.</w:t>
      </w:r>
    </w:p>
    <w:p w:rsidR="00456D87" w:rsidRPr="00C828D9" w:rsidRDefault="008B54E8" w:rsidP="008B54E8">
      <w:pPr>
        <w:contextualSpacing/>
        <w:jc w:val="both"/>
        <w:rPr>
          <w:rFonts w:cs="Times New Roman"/>
        </w:rPr>
      </w:pPr>
      <w:r w:rsidRPr="00C828D9">
        <w:rPr>
          <w:rFonts w:cs="Times New Roman"/>
        </w:rPr>
        <w:t xml:space="preserve">The external investment advisor shall prepare and submit to the Investment Advisory Committee a "Quarterly Investment Report" that summarizes (i) recent market conditions, economic </w:t>
      </w:r>
      <w:r w:rsidRPr="00C828D9">
        <w:rPr>
          <w:rFonts w:cs="Times New Roman"/>
        </w:rPr>
        <w:lastRenderedPageBreak/>
        <w:t>developments, and anticipated investment conditions, (ii) the investment strategies employed in the most recent quarter, (iii) a description of all securities held in investment portfolios at month end, (iv) the total rate of return for the quarter and year-to date versus appropriate benchmarks, and (v) any areas of policy concern warranting possible revisions to current or planned investment strategies. The market values presented in these reports will be consistent with GASB account guidelines pertaining to the valuation of investments and the treatment of unrealized gains/losses.</w:t>
      </w:r>
    </w:p>
    <w:p w:rsidR="008B54E8" w:rsidRPr="00C828D9" w:rsidRDefault="008B54E8" w:rsidP="008B54E8">
      <w:pPr>
        <w:jc w:val="both"/>
        <w:rPr>
          <w:rFonts w:cs="Times New Roman"/>
        </w:rPr>
      </w:pPr>
    </w:p>
    <w:p w:rsidR="008B54E8" w:rsidRPr="00C828D9" w:rsidRDefault="008B54E8" w:rsidP="008B54E8">
      <w:pPr>
        <w:jc w:val="both"/>
        <w:rPr>
          <w:rFonts w:cs="Times New Roman"/>
          <w:lang w:val="en"/>
        </w:rPr>
      </w:pPr>
      <w:r w:rsidRPr="00C828D9">
        <w:rPr>
          <w:rFonts w:cs="Times New Roman"/>
          <w:bCs/>
          <w:lang w:val="en"/>
        </w:rPr>
        <w:t>GLOSSARY OF TERMS:</w:t>
      </w:r>
    </w:p>
    <w:p w:rsidR="008B54E8" w:rsidRPr="00C828D9" w:rsidRDefault="008B54E8" w:rsidP="008B54E8">
      <w:pPr>
        <w:numPr>
          <w:ilvl w:val="1"/>
          <w:numId w:val="10"/>
        </w:numPr>
        <w:tabs>
          <w:tab w:val="clear" w:pos="1440"/>
          <w:tab w:val="num" w:pos="1080"/>
        </w:tabs>
        <w:spacing w:line="240" w:lineRule="auto"/>
        <w:ind w:left="540"/>
        <w:contextualSpacing/>
        <w:jc w:val="both"/>
        <w:rPr>
          <w:rFonts w:cs="Times New Roman"/>
          <w:lang w:val="en"/>
        </w:rPr>
      </w:pPr>
      <w:r w:rsidRPr="00C828D9">
        <w:rPr>
          <w:rFonts w:cs="Times New Roman"/>
          <w:b/>
          <w:bCs/>
          <w:lang w:val="en"/>
        </w:rPr>
        <w:t>Accrued Interest:</w:t>
      </w:r>
      <w:r w:rsidRPr="00C828D9">
        <w:rPr>
          <w:rFonts w:cs="Times New Roman"/>
          <w:lang w:val="en"/>
        </w:rPr>
        <w:t xml:space="preserve"> Interest earned, but which has not yet been paid or received. </w:t>
      </w:r>
    </w:p>
    <w:p w:rsidR="008B54E8" w:rsidRPr="00C828D9" w:rsidRDefault="008B54E8" w:rsidP="008B54E8">
      <w:pPr>
        <w:numPr>
          <w:ilvl w:val="1"/>
          <w:numId w:val="10"/>
        </w:numPr>
        <w:tabs>
          <w:tab w:val="clear" w:pos="1440"/>
          <w:tab w:val="num" w:pos="1080"/>
        </w:tabs>
        <w:spacing w:line="240" w:lineRule="auto"/>
        <w:ind w:left="540"/>
        <w:contextualSpacing/>
        <w:jc w:val="both"/>
        <w:rPr>
          <w:rFonts w:cs="Times New Roman"/>
          <w:lang w:val="en"/>
        </w:rPr>
      </w:pPr>
      <w:r w:rsidRPr="00C828D9">
        <w:rPr>
          <w:rFonts w:cs="Times New Roman"/>
          <w:b/>
          <w:bCs/>
          <w:lang w:val="en"/>
        </w:rPr>
        <w:t>Ask Price:</w:t>
      </w:r>
      <w:r w:rsidRPr="00C828D9">
        <w:rPr>
          <w:rFonts w:cs="Times New Roman"/>
          <w:lang w:val="en"/>
        </w:rPr>
        <w:t xml:space="preserve"> Price at which a broker/dealer offers to sell a security to an investor. Also known as "offered price." </w:t>
      </w:r>
    </w:p>
    <w:p w:rsidR="008B54E8" w:rsidRPr="00C828D9" w:rsidRDefault="008B54E8" w:rsidP="008B54E8">
      <w:pPr>
        <w:numPr>
          <w:ilvl w:val="1"/>
          <w:numId w:val="10"/>
        </w:numPr>
        <w:tabs>
          <w:tab w:val="clear" w:pos="1440"/>
          <w:tab w:val="num" w:pos="1080"/>
        </w:tabs>
        <w:spacing w:line="240" w:lineRule="auto"/>
        <w:ind w:left="540"/>
        <w:contextualSpacing/>
        <w:jc w:val="both"/>
        <w:rPr>
          <w:rFonts w:cs="Times New Roman"/>
          <w:lang w:val="en"/>
        </w:rPr>
      </w:pPr>
      <w:r w:rsidRPr="00C828D9">
        <w:rPr>
          <w:rFonts w:cs="Times New Roman"/>
          <w:b/>
          <w:bCs/>
          <w:lang w:val="en"/>
        </w:rPr>
        <w:t>Amortized Book Value:</w:t>
      </w:r>
      <w:r w:rsidRPr="00C828D9">
        <w:rPr>
          <w:rFonts w:cs="Times New Roman"/>
          <w:lang w:val="en"/>
        </w:rPr>
        <w:t xml:space="preserve"> The recorded amount of a security, adjusted for any applicable amortization of premium or discount. Eventually, once all amortization has been recorded, the amortized value of a security will equal its face value. </w:t>
      </w:r>
    </w:p>
    <w:p w:rsidR="008B54E8" w:rsidRPr="00C828D9" w:rsidRDefault="008B54E8" w:rsidP="008B54E8">
      <w:pPr>
        <w:numPr>
          <w:ilvl w:val="1"/>
          <w:numId w:val="10"/>
        </w:numPr>
        <w:tabs>
          <w:tab w:val="clear" w:pos="1440"/>
          <w:tab w:val="num" w:pos="1080"/>
        </w:tabs>
        <w:spacing w:line="240" w:lineRule="auto"/>
        <w:ind w:left="540"/>
        <w:contextualSpacing/>
        <w:jc w:val="both"/>
        <w:rPr>
          <w:rFonts w:cs="Times New Roman"/>
          <w:lang w:val="en"/>
        </w:rPr>
      </w:pPr>
      <w:r w:rsidRPr="00C828D9">
        <w:rPr>
          <w:rFonts w:cs="Times New Roman"/>
          <w:b/>
          <w:bCs/>
          <w:lang w:val="en"/>
        </w:rPr>
        <w:t>Arbitrage Rebate Regulations:</w:t>
      </w:r>
      <w:r w:rsidRPr="00C828D9">
        <w:rPr>
          <w:rFonts w:cs="Times New Roman"/>
          <w:lang w:val="en"/>
        </w:rPr>
        <w:t xml:space="preserve"> The Internal Revenue Code of 1986 requires that certain earnings on investments of tax-exempt bond proceeds be paid to the United States. The amount that must be rebated is based on the difference between the amount actually earned on investments and the amount that would have been earned if those investments had a yield equal to the yield on the issue. </w:t>
      </w:r>
    </w:p>
    <w:p w:rsidR="008B54E8" w:rsidRPr="00C828D9" w:rsidRDefault="008B54E8" w:rsidP="008B54E8">
      <w:pPr>
        <w:numPr>
          <w:ilvl w:val="1"/>
          <w:numId w:val="10"/>
        </w:numPr>
        <w:tabs>
          <w:tab w:val="clear" w:pos="1440"/>
          <w:tab w:val="num" w:pos="1080"/>
        </w:tabs>
        <w:spacing w:line="240" w:lineRule="auto"/>
        <w:ind w:left="540"/>
        <w:contextualSpacing/>
        <w:jc w:val="both"/>
        <w:rPr>
          <w:rFonts w:cs="Times New Roman"/>
          <w:lang w:val="en"/>
        </w:rPr>
      </w:pPr>
      <w:r w:rsidRPr="00C828D9">
        <w:rPr>
          <w:rFonts w:cs="Times New Roman"/>
          <w:b/>
          <w:bCs/>
          <w:lang w:val="en"/>
        </w:rPr>
        <w:t>Bankers’ Acceptance:</w:t>
      </w:r>
      <w:r w:rsidRPr="00C828D9">
        <w:rPr>
          <w:rFonts w:cs="Times New Roman"/>
          <w:lang w:val="en"/>
        </w:rPr>
        <w:t xml:space="preserve"> A draft or bill or exchange accepted by a bank or trust company. The accepting institution guarantees payment of the bill, as well as the issuer. </w:t>
      </w:r>
    </w:p>
    <w:p w:rsidR="008B54E8" w:rsidRPr="00C828D9" w:rsidRDefault="008B54E8" w:rsidP="008B54E8">
      <w:pPr>
        <w:numPr>
          <w:ilvl w:val="1"/>
          <w:numId w:val="10"/>
        </w:numPr>
        <w:tabs>
          <w:tab w:val="clear" w:pos="1440"/>
          <w:tab w:val="num" w:pos="1080"/>
        </w:tabs>
        <w:spacing w:line="240" w:lineRule="auto"/>
        <w:ind w:left="540"/>
        <w:contextualSpacing/>
        <w:jc w:val="both"/>
        <w:rPr>
          <w:rFonts w:cs="Times New Roman"/>
          <w:lang w:val="en"/>
        </w:rPr>
      </w:pPr>
      <w:r w:rsidRPr="00C828D9">
        <w:rPr>
          <w:rFonts w:cs="Times New Roman"/>
          <w:b/>
          <w:bCs/>
          <w:lang w:val="en"/>
        </w:rPr>
        <w:t>Benchmark:</w:t>
      </w:r>
      <w:r w:rsidRPr="00C828D9">
        <w:rPr>
          <w:rFonts w:cs="Times New Roman"/>
          <w:lang w:val="en"/>
        </w:rPr>
        <w:t xml:space="preserve"> A comparative base for measuring the performance or risk tolerance of the investment portfolio. A benchmark should represent a close correlation to the level of risk and the average duration of the portfolio’s investments. </w:t>
      </w:r>
    </w:p>
    <w:p w:rsidR="008B54E8" w:rsidRPr="00C828D9" w:rsidRDefault="008B54E8" w:rsidP="008B54E8">
      <w:pPr>
        <w:numPr>
          <w:ilvl w:val="1"/>
          <w:numId w:val="10"/>
        </w:numPr>
        <w:tabs>
          <w:tab w:val="clear" w:pos="1440"/>
          <w:tab w:val="num" w:pos="1080"/>
        </w:tabs>
        <w:spacing w:line="240" w:lineRule="auto"/>
        <w:ind w:left="540"/>
        <w:contextualSpacing/>
        <w:jc w:val="both"/>
        <w:rPr>
          <w:rFonts w:cs="Times New Roman"/>
          <w:lang w:val="en"/>
        </w:rPr>
      </w:pPr>
      <w:r w:rsidRPr="00C828D9">
        <w:rPr>
          <w:rFonts w:cs="Times New Roman"/>
          <w:b/>
          <w:bCs/>
          <w:lang w:val="en"/>
        </w:rPr>
        <w:t>Bid Price:</w:t>
      </w:r>
      <w:r w:rsidRPr="00C828D9">
        <w:rPr>
          <w:rFonts w:cs="Times New Roman"/>
          <w:lang w:val="en"/>
        </w:rPr>
        <w:t xml:space="preserve"> Price at which a broker/dealer offers to purchase a security from an investor. </w:t>
      </w:r>
    </w:p>
    <w:p w:rsidR="008B54E8" w:rsidRPr="00C828D9" w:rsidRDefault="008B54E8" w:rsidP="008B54E8">
      <w:pPr>
        <w:numPr>
          <w:ilvl w:val="1"/>
          <w:numId w:val="10"/>
        </w:numPr>
        <w:tabs>
          <w:tab w:val="clear" w:pos="1440"/>
          <w:tab w:val="num" w:pos="1080"/>
        </w:tabs>
        <w:spacing w:line="240" w:lineRule="auto"/>
        <w:ind w:left="540"/>
        <w:contextualSpacing/>
        <w:jc w:val="both"/>
        <w:rPr>
          <w:rFonts w:cs="Times New Roman"/>
          <w:lang w:val="en"/>
        </w:rPr>
      </w:pPr>
      <w:r w:rsidRPr="00C828D9">
        <w:rPr>
          <w:rFonts w:cs="Times New Roman"/>
          <w:b/>
          <w:bCs/>
          <w:lang w:val="en"/>
        </w:rPr>
        <w:t>Bond:</w:t>
      </w:r>
      <w:r w:rsidRPr="00C828D9">
        <w:rPr>
          <w:rFonts w:cs="Times New Roman"/>
          <w:lang w:val="en"/>
        </w:rPr>
        <w:t xml:space="preserve"> Financial obligation for which the issuer promises to pay the bondholder (the purchaser or owner of the bond) a specified stream of cash flows including periodic interest payments and a principal repayment. </w:t>
      </w:r>
    </w:p>
    <w:p w:rsidR="008B54E8" w:rsidRPr="00C828D9" w:rsidRDefault="008B54E8" w:rsidP="008B54E8">
      <w:pPr>
        <w:numPr>
          <w:ilvl w:val="1"/>
          <w:numId w:val="10"/>
        </w:numPr>
        <w:tabs>
          <w:tab w:val="clear" w:pos="1440"/>
          <w:tab w:val="num" w:pos="1080"/>
        </w:tabs>
        <w:spacing w:line="240" w:lineRule="auto"/>
        <w:ind w:left="540"/>
        <w:contextualSpacing/>
        <w:jc w:val="both"/>
        <w:rPr>
          <w:rFonts w:cs="Times New Roman"/>
          <w:lang w:val="en"/>
        </w:rPr>
      </w:pPr>
      <w:r w:rsidRPr="00C828D9">
        <w:rPr>
          <w:rFonts w:cs="Times New Roman"/>
          <w:b/>
          <w:bCs/>
          <w:lang w:val="en"/>
        </w:rPr>
        <w:t>Broker:</w:t>
      </w:r>
      <w:r w:rsidRPr="00C828D9">
        <w:rPr>
          <w:rFonts w:cs="Times New Roman"/>
          <w:lang w:val="en"/>
        </w:rPr>
        <w:t xml:space="preserve"> Brings buyers and sellers together for a commission. </w:t>
      </w:r>
    </w:p>
    <w:p w:rsidR="008B54E8" w:rsidRPr="00C828D9" w:rsidRDefault="008B54E8" w:rsidP="008B54E8">
      <w:pPr>
        <w:numPr>
          <w:ilvl w:val="1"/>
          <w:numId w:val="10"/>
        </w:numPr>
        <w:tabs>
          <w:tab w:val="clear" w:pos="1440"/>
          <w:tab w:val="num" w:pos="1080"/>
        </w:tabs>
        <w:spacing w:line="240" w:lineRule="auto"/>
        <w:ind w:left="540"/>
        <w:contextualSpacing/>
        <w:jc w:val="both"/>
        <w:rPr>
          <w:rFonts w:cs="Times New Roman"/>
          <w:lang w:val="en"/>
        </w:rPr>
      </w:pPr>
      <w:r w:rsidRPr="00C828D9">
        <w:rPr>
          <w:rFonts w:cs="Times New Roman"/>
          <w:b/>
          <w:bCs/>
          <w:lang w:val="en"/>
        </w:rPr>
        <w:t>Broker-Dealer:</w:t>
      </w:r>
      <w:r w:rsidRPr="00C828D9">
        <w:rPr>
          <w:rFonts w:cs="Times New Roman"/>
          <w:lang w:val="en"/>
        </w:rPr>
        <w:t xml:space="preserve"> A person or firm in the business of buying and selling securities, operating as both a broker and a dealer, depending on the transaction. A brokerage acts as a broker (or agent) when it executes orders on behalf of clients, whereas it acts as a dealer (or principal) when it trades for its own account. </w:t>
      </w:r>
    </w:p>
    <w:p w:rsidR="008B54E8" w:rsidRPr="00C828D9" w:rsidRDefault="008B54E8" w:rsidP="008B54E8">
      <w:pPr>
        <w:numPr>
          <w:ilvl w:val="1"/>
          <w:numId w:val="10"/>
        </w:numPr>
        <w:tabs>
          <w:tab w:val="clear" w:pos="1440"/>
          <w:tab w:val="num" w:pos="1080"/>
        </w:tabs>
        <w:spacing w:line="240" w:lineRule="auto"/>
        <w:ind w:left="540"/>
        <w:contextualSpacing/>
        <w:jc w:val="both"/>
        <w:rPr>
          <w:rFonts w:cs="Times New Roman"/>
          <w:lang w:val="en"/>
        </w:rPr>
      </w:pPr>
      <w:r w:rsidRPr="00C828D9">
        <w:rPr>
          <w:rFonts w:cs="Times New Roman"/>
          <w:b/>
          <w:bCs/>
          <w:lang w:val="en"/>
        </w:rPr>
        <w:t>Certificate of Deposit (CD):</w:t>
      </w:r>
      <w:r w:rsidRPr="00C828D9">
        <w:rPr>
          <w:rFonts w:cs="Times New Roman"/>
          <w:lang w:val="en"/>
        </w:rPr>
        <w:t xml:space="preserve"> A time deposit with a specific maturity evidenced by a Certificate. Large-denomination CDs are typically negotiable. </w:t>
      </w:r>
    </w:p>
    <w:p w:rsidR="008B54E8" w:rsidRPr="00C828D9" w:rsidRDefault="008B54E8" w:rsidP="008B54E8">
      <w:pPr>
        <w:numPr>
          <w:ilvl w:val="1"/>
          <w:numId w:val="10"/>
        </w:numPr>
        <w:tabs>
          <w:tab w:val="clear" w:pos="1440"/>
          <w:tab w:val="num" w:pos="1080"/>
        </w:tabs>
        <w:spacing w:line="240" w:lineRule="auto"/>
        <w:ind w:left="540"/>
        <w:contextualSpacing/>
        <w:jc w:val="both"/>
        <w:rPr>
          <w:rFonts w:cs="Times New Roman"/>
          <w:lang w:val="en"/>
        </w:rPr>
      </w:pPr>
      <w:r w:rsidRPr="00C828D9">
        <w:rPr>
          <w:rFonts w:cs="Times New Roman"/>
          <w:b/>
          <w:bCs/>
          <w:lang w:val="en"/>
        </w:rPr>
        <w:t>Collateral</w:t>
      </w:r>
      <w:r w:rsidRPr="00C828D9">
        <w:rPr>
          <w:rFonts w:cs="Times New Roman"/>
          <w:lang w:val="en"/>
        </w:rPr>
        <w:t xml:space="preserve">: Securities, evidence of deposit or other property, which a borrower pledges to secure repayment of a loan. Also refers to securities pledged by a bank to secure deposits of public monies. </w:t>
      </w:r>
    </w:p>
    <w:p w:rsidR="008B54E8" w:rsidRPr="00C828D9" w:rsidRDefault="008B54E8" w:rsidP="008B54E8">
      <w:pPr>
        <w:numPr>
          <w:ilvl w:val="1"/>
          <w:numId w:val="10"/>
        </w:numPr>
        <w:tabs>
          <w:tab w:val="clear" w:pos="1440"/>
          <w:tab w:val="num" w:pos="1080"/>
        </w:tabs>
        <w:spacing w:line="240" w:lineRule="auto"/>
        <w:ind w:left="540"/>
        <w:contextualSpacing/>
        <w:jc w:val="both"/>
        <w:rPr>
          <w:rFonts w:cs="Times New Roman"/>
          <w:lang w:val="en"/>
        </w:rPr>
      </w:pPr>
      <w:r w:rsidRPr="00C828D9">
        <w:rPr>
          <w:rFonts w:cs="Times New Roman"/>
          <w:b/>
          <w:bCs/>
          <w:lang w:val="en"/>
        </w:rPr>
        <w:t>Commercial Paper:</w:t>
      </w:r>
      <w:r w:rsidRPr="00C828D9">
        <w:rPr>
          <w:rFonts w:cs="Times New Roman"/>
          <w:lang w:val="en"/>
        </w:rPr>
        <w:t xml:space="preserve"> An unsecured promissory note with a fixed maturity no longer than 270 days. Public offerings are exempt from SEC regulation. </w:t>
      </w:r>
    </w:p>
    <w:p w:rsidR="008B54E8" w:rsidRPr="00C828D9" w:rsidRDefault="008B54E8" w:rsidP="008B54E8">
      <w:pPr>
        <w:numPr>
          <w:ilvl w:val="1"/>
          <w:numId w:val="10"/>
        </w:numPr>
        <w:tabs>
          <w:tab w:val="clear" w:pos="1440"/>
          <w:tab w:val="num" w:pos="1080"/>
        </w:tabs>
        <w:spacing w:line="240" w:lineRule="auto"/>
        <w:ind w:left="540"/>
        <w:contextualSpacing/>
        <w:jc w:val="both"/>
        <w:rPr>
          <w:rFonts w:cs="Times New Roman"/>
          <w:lang w:val="en"/>
        </w:rPr>
      </w:pPr>
      <w:r w:rsidRPr="00C828D9">
        <w:rPr>
          <w:rFonts w:cs="Times New Roman"/>
          <w:b/>
          <w:bCs/>
          <w:lang w:val="en"/>
        </w:rPr>
        <w:t>Corporate Notes:</w:t>
      </w:r>
      <w:r w:rsidRPr="00C828D9">
        <w:rPr>
          <w:rFonts w:cs="Times New Roman"/>
          <w:lang w:val="en"/>
        </w:rPr>
        <w:t xml:space="preserve"> Unsecured promissory notes issued by corporations to raise capital. </w:t>
      </w:r>
    </w:p>
    <w:p w:rsidR="008B54E8" w:rsidRPr="00C828D9" w:rsidRDefault="008B54E8" w:rsidP="008B54E8">
      <w:pPr>
        <w:numPr>
          <w:ilvl w:val="1"/>
          <w:numId w:val="10"/>
        </w:numPr>
        <w:tabs>
          <w:tab w:val="clear" w:pos="1440"/>
          <w:tab w:val="num" w:pos="1080"/>
        </w:tabs>
        <w:spacing w:line="240" w:lineRule="auto"/>
        <w:ind w:left="540"/>
        <w:contextualSpacing/>
        <w:jc w:val="both"/>
        <w:rPr>
          <w:rFonts w:cs="Times New Roman"/>
          <w:lang w:val="en"/>
        </w:rPr>
      </w:pPr>
      <w:r w:rsidRPr="00C828D9">
        <w:rPr>
          <w:rFonts w:cs="Times New Roman"/>
          <w:b/>
          <w:bCs/>
          <w:lang w:val="en"/>
        </w:rPr>
        <w:t>Counterparty:</w:t>
      </w:r>
      <w:r w:rsidRPr="00C828D9">
        <w:rPr>
          <w:rFonts w:cs="Times New Roman"/>
          <w:lang w:val="en"/>
        </w:rPr>
        <w:t xml:space="preserve"> The other party in a two party financial transaction. </w:t>
      </w:r>
    </w:p>
    <w:p w:rsidR="008B54E8" w:rsidRPr="00C828D9" w:rsidRDefault="008B54E8" w:rsidP="008B54E8">
      <w:pPr>
        <w:numPr>
          <w:ilvl w:val="1"/>
          <w:numId w:val="10"/>
        </w:numPr>
        <w:tabs>
          <w:tab w:val="clear" w:pos="1440"/>
          <w:tab w:val="num" w:pos="1080"/>
        </w:tabs>
        <w:spacing w:line="240" w:lineRule="auto"/>
        <w:ind w:left="540"/>
        <w:contextualSpacing/>
        <w:jc w:val="both"/>
        <w:rPr>
          <w:rFonts w:cs="Times New Roman"/>
          <w:lang w:val="en"/>
        </w:rPr>
      </w:pPr>
      <w:r w:rsidRPr="00C828D9">
        <w:rPr>
          <w:rFonts w:cs="Times New Roman"/>
          <w:b/>
          <w:bCs/>
          <w:lang w:val="en"/>
        </w:rPr>
        <w:t>Counterparty Risk</w:t>
      </w:r>
      <w:r w:rsidRPr="00C828D9">
        <w:rPr>
          <w:rFonts w:cs="Times New Roman"/>
          <w:lang w:val="en"/>
        </w:rPr>
        <w:t xml:space="preserve">: Refers to the risk that the other party to a transaction will fail in its related obligations. For example, the bank or broker dealer in repurchase agreement. </w:t>
      </w:r>
    </w:p>
    <w:p w:rsidR="008B54E8" w:rsidRPr="00C828D9" w:rsidRDefault="008B54E8" w:rsidP="008B54E8">
      <w:pPr>
        <w:numPr>
          <w:ilvl w:val="1"/>
          <w:numId w:val="10"/>
        </w:numPr>
        <w:tabs>
          <w:tab w:val="clear" w:pos="1440"/>
          <w:tab w:val="num" w:pos="1080"/>
        </w:tabs>
        <w:spacing w:line="240" w:lineRule="auto"/>
        <w:ind w:left="540"/>
        <w:contextualSpacing/>
        <w:jc w:val="both"/>
        <w:rPr>
          <w:rFonts w:cs="Times New Roman"/>
          <w:lang w:val="en"/>
        </w:rPr>
      </w:pPr>
      <w:r w:rsidRPr="00C828D9">
        <w:rPr>
          <w:rFonts w:cs="Times New Roman"/>
          <w:b/>
          <w:bCs/>
          <w:lang w:val="en"/>
        </w:rPr>
        <w:t>Credit Risk:</w:t>
      </w:r>
      <w:r w:rsidRPr="00C828D9">
        <w:rPr>
          <w:rFonts w:cs="Times New Roman"/>
          <w:lang w:val="en"/>
        </w:rPr>
        <w:t xml:space="preserve"> Potential that a borrower or counterparty will fail to fulfill an obligation. </w:t>
      </w:r>
    </w:p>
    <w:p w:rsidR="008B54E8" w:rsidRPr="00C828D9" w:rsidRDefault="008B54E8" w:rsidP="008B54E8">
      <w:pPr>
        <w:numPr>
          <w:ilvl w:val="1"/>
          <w:numId w:val="10"/>
        </w:numPr>
        <w:tabs>
          <w:tab w:val="clear" w:pos="1440"/>
          <w:tab w:val="num" w:pos="1080"/>
        </w:tabs>
        <w:spacing w:line="240" w:lineRule="auto"/>
        <w:ind w:left="540"/>
        <w:contextualSpacing/>
        <w:jc w:val="both"/>
        <w:rPr>
          <w:rFonts w:cs="Times New Roman"/>
          <w:lang w:val="en"/>
        </w:rPr>
      </w:pPr>
      <w:r w:rsidRPr="00C828D9">
        <w:rPr>
          <w:rFonts w:cs="Times New Roman"/>
          <w:b/>
          <w:bCs/>
          <w:lang w:val="en"/>
        </w:rPr>
        <w:lastRenderedPageBreak/>
        <w:t>Custodial Bank:</w:t>
      </w:r>
      <w:r w:rsidRPr="00C828D9">
        <w:rPr>
          <w:rFonts w:cs="Times New Roman"/>
          <w:lang w:val="en"/>
        </w:rPr>
        <w:t xml:space="preserve"> A firm that holds securities and other assets in electronic or physical form for safekeeping so as to minimize the risk of their theft or loss. </w:t>
      </w:r>
    </w:p>
    <w:p w:rsidR="008B54E8" w:rsidRPr="00C828D9" w:rsidRDefault="008B54E8" w:rsidP="008B54E8">
      <w:pPr>
        <w:numPr>
          <w:ilvl w:val="1"/>
          <w:numId w:val="10"/>
        </w:numPr>
        <w:tabs>
          <w:tab w:val="clear" w:pos="1440"/>
          <w:tab w:val="num" w:pos="1080"/>
        </w:tabs>
        <w:spacing w:line="240" w:lineRule="auto"/>
        <w:ind w:left="540"/>
        <w:contextualSpacing/>
        <w:jc w:val="both"/>
        <w:rPr>
          <w:rFonts w:cs="Times New Roman"/>
          <w:lang w:val="en"/>
        </w:rPr>
      </w:pPr>
      <w:r w:rsidRPr="00C828D9">
        <w:rPr>
          <w:rFonts w:cs="Times New Roman"/>
          <w:b/>
          <w:bCs/>
          <w:lang w:val="en"/>
        </w:rPr>
        <w:t>Dealer:</w:t>
      </w:r>
      <w:r w:rsidRPr="00C828D9">
        <w:rPr>
          <w:rFonts w:cs="Times New Roman"/>
          <w:lang w:val="en"/>
        </w:rPr>
        <w:t xml:space="preserve"> A firm in the business of buying and selling securities for their own account. A dealer is defined by the fact that it acts as principal in trading for its own account, as opposed to a broker who acts as an agent in executing orders on behalf of its clients. </w:t>
      </w:r>
    </w:p>
    <w:p w:rsidR="008B54E8" w:rsidRPr="00C828D9" w:rsidRDefault="008B54E8" w:rsidP="008B54E8">
      <w:pPr>
        <w:numPr>
          <w:ilvl w:val="1"/>
          <w:numId w:val="10"/>
        </w:numPr>
        <w:tabs>
          <w:tab w:val="clear" w:pos="1440"/>
          <w:tab w:val="num" w:pos="1080"/>
        </w:tabs>
        <w:spacing w:line="240" w:lineRule="auto"/>
        <w:ind w:left="540"/>
        <w:contextualSpacing/>
        <w:jc w:val="both"/>
        <w:rPr>
          <w:rFonts w:cs="Times New Roman"/>
          <w:lang w:val="en"/>
        </w:rPr>
      </w:pPr>
      <w:r w:rsidRPr="00C828D9">
        <w:rPr>
          <w:rFonts w:cs="Times New Roman"/>
          <w:b/>
          <w:bCs/>
          <w:lang w:val="en"/>
        </w:rPr>
        <w:t>Delivery versus Payment:</w:t>
      </w:r>
      <w:r w:rsidRPr="00C828D9">
        <w:rPr>
          <w:rFonts w:cs="Times New Roman"/>
          <w:lang w:val="en"/>
        </w:rPr>
        <w:t xml:space="preserve"> Delivery of securities with an exchange of money for the securities. </w:t>
      </w:r>
    </w:p>
    <w:p w:rsidR="008B54E8" w:rsidRPr="00C828D9" w:rsidRDefault="008B54E8" w:rsidP="008B54E8">
      <w:pPr>
        <w:numPr>
          <w:ilvl w:val="1"/>
          <w:numId w:val="10"/>
        </w:numPr>
        <w:tabs>
          <w:tab w:val="clear" w:pos="1440"/>
          <w:tab w:val="num" w:pos="1080"/>
        </w:tabs>
        <w:spacing w:line="240" w:lineRule="auto"/>
        <w:ind w:left="540"/>
        <w:contextualSpacing/>
        <w:jc w:val="both"/>
        <w:rPr>
          <w:rFonts w:cs="Times New Roman"/>
          <w:lang w:val="en"/>
        </w:rPr>
      </w:pPr>
      <w:r w:rsidRPr="00C828D9">
        <w:rPr>
          <w:rFonts w:cs="Times New Roman"/>
          <w:b/>
          <w:bCs/>
          <w:lang w:val="en"/>
        </w:rPr>
        <w:t>Depository Bank:</w:t>
      </w:r>
      <w:r w:rsidRPr="00C828D9">
        <w:rPr>
          <w:rFonts w:cs="Times New Roman"/>
          <w:lang w:val="en"/>
        </w:rPr>
        <w:t xml:space="preserve"> A for-profit or non-profit financial organization that takes money from clients and places it in any of a variety of deposit or investment vehicles for the benefit of both the client and the organization. </w:t>
      </w:r>
    </w:p>
    <w:p w:rsidR="008B54E8" w:rsidRPr="00C828D9" w:rsidRDefault="008B54E8" w:rsidP="008B54E8">
      <w:pPr>
        <w:numPr>
          <w:ilvl w:val="1"/>
          <w:numId w:val="10"/>
        </w:numPr>
        <w:tabs>
          <w:tab w:val="clear" w:pos="1440"/>
          <w:tab w:val="num" w:pos="1080"/>
        </w:tabs>
        <w:spacing w:line="240" w:lineRule="auto"/>
        <w:ind w:left="540"/>
        <w:contextualSpacing/>
        <w:jc w:val="both"/>
        <w:rPr>
          <w:rFonts w:cs="Times New Roman"/>
          <w:lang w:val="en"/>
        </w:rPr>
      </w:pPr>
      <w:r w:rsidRPr="00C828D9">
        <w:rPr>
          <w:rFonts w:cs="Times New Roman"/>
          <w:b/>
          <w:bCs/>
          <w:lang w:val="en"/>
        </w:rPr>
        <w:t>Derivatives:</w:t>
      </w:r>
      <w:r w:rsidRPr="00C828D9">
        <w:rPr>
          <w:rFonts w:cs="Times New Roman"/>
          <w:lang w:val="en"/>
        </w:rPr>
        <w:t xml:space="preserve"> A contract between two or more parties whose value is based on an agreed-upon underlying financial asset, index or security such as bonds, commodities, currencies, interest rates, market indexes and stocks. </w:t>
      </w:r>
    </w:p>
    <w:p w:rsidR="008B54E8" w:rsidRPr="00C828D9" w:rsidRDefault="008B54E8" w:rsidP="008B54E8">
      <w:pPr>
        <w:numPr>
          <w:ilvl w:val="1"/>
          <w:numId w:val="10"/>
        </w:numPr>
        <w:tabs>
          <w:tab w:val="clear" w:pos="1440"/>
          <w:tab w:val="num" w:pos="1080"/>
        </w:tabs>
        <w:spacing w:line="240" w:lineRule="auto"/>
        <w:ind w:left="540"/>
        <w:contextualSpacing/>
        <w:jc w:val="both"/>
        <w:rPr>
          <w:rFonts w:cs="Times New Roman"/>
          <w:lang w:val="en"/>
        </w:rPr>
      </w:pPr>
      <w:r w:rsidRPr="00C828D9">
        <w:rPr>
          <w:rFonts w:cs="Times New Roman"/>
          <w:b/>
          <w:bCs/>
          <w:lang w:val="en"/>
        </w:rPr>
        <w:t>Diversification:</w:t>
      </w:r>
      <w:r w:rsidRPr="00C828D9">
        <w:rPr>
          <w:rFonts w:cs="Times New Roman"/>
          <w:lang w:val="en"/>
        </w:rPr>
        <w:t xml:space="preserve"> Allocation investment funds among a variety of securities offering independent returns. </w:t>
      </w:r>
    </w:p>
    <w:p w:rsidR="008B54E8" w:rsidRPr="00C828D9" w:rsidRDefault="008B54E8" w:rsidP="008B54E8">
      <w:pPr>
        <w:numPr>
          <w:ilvl w:val="1"/>
          <w:numId w:val="10"/>
        </w:numPr>
        <w:tabs>
          <w:tab w:val="clear" w:pos="1440"/>
          <w:tab w:val="num" w:pos="1080"/>
        </w:tabs>
        <w:spacing w:line="240" w:lineRule="auto"/>
        <w:ind w:left="540"/>
        <w:contextualSpacing/>
        <w:jc w:val="both"/>
        <w:rPr>
          <w:rFonts w:cs="Times New Roman"/>
          <w:lang w:val="en"/>
        </w:rPr>
      </w:pPr>
      <w:r w:rsidRPr="00C828D9">
        <w:rPr>
          <w:rFonts w:cs="Times New Roman"/>
          <w:b/>
          <w:bCs/>
          <w:lang w:val="en"/>
        </w:rPr>
        <w:t>Duration:</w:t>
      </w:r>
      <w:r w:rsidRPr="00C828D9">
        <w:rPr>
          <w:rFonts w:cs="Times New Roman"/>
          <w:lang w:val="en"/>
        </w:rPr>
        <w:t xml:space="preserve"> A measure of the sensitivity of the price (the value of principal) of a fixed-income investment to a change in interest rates. Duration is expressed as a number of years. </w:t>
      </w:r>
    </w:p>
    <w:p w:rsidR="008B54E8" w:rsidRPr="00C828D9" w:rsidRDefault="008B54E8" w:rsidP="008B54E8">
      <w:pPr>
        <w:numPr>
          <w:ilvl w:val="1"/>
          <w:numId w:val="10"/>
        </w:numPr>
        <w:tabs>
          <w:tab w:val="clear" w:pos="1440"/>
          <w:tab w:val="num" w:pos="1080"/>
        </w:tabs>
        <w:spacing w:line="240" w:lineRule="auto"/>
        <w:ind w:left="540"/>
        <w:contextualSpacing/>
        <w:jc w:val="both"/>
        <w:rPr>
          <w:rFonts w:cs="Times New Roman"/>
          <w:lang w:val="en"/>
        </w:rPr>
      </w:pPr>
      <w:r w:rsidRPr="00C828D9">
        <w:rPr>
          <w:rFonts w:cs="Times New Roman"/>
          <w:b/>
          <w:bCs/>
          <w:lang w:val="en"/>
        </w:rPr>
        <w:t>Federal Agency:</w:t>
      </w:r>
      <w:r w:rsidRPr="00C828D9">
        <w:rPr>
          <w:rFonts w:cs="Times New Roman"/>
          <w:lang w:val="en"/>
        </w:rPr>
        <w:t xml:space="preserve"> Government sponsored/owned entity created by the U.S. Congress, generally for the purpose of acting as a financial intermediary by borrowing in the marketplace and directing proceeds to specific areas of the economy considered to otherwise have restricted access to credit markets, also referred to as government sponsored enterprises or GSEs. The largest are Ginnie Mae, Fannie Mae, Freddie Mac, Federal Home Loan Banks, Federal Farm Credit Bank and Tennessee Valley Authority. </w:t>
      </w:r>
    </w:p>
    <w:p w:rsidR="008B54E8" w:rsidRPr="00C828D9" w:rsidRDefault="008B54E8" w:rsidP="008B54E8">
      <w:pPr>
        <w:numPr>
          <w:ilvl w:val="1"/>
          <w:numId w:val="10"/>
        </w:numPr>
        <w:tabs>
          <w:tab w:val="clear" w:pos="1440"/>
          <w:tab w:val="num" w:pos="1080"/>
        </w:tabs>
        <w:spacing w:line="240" w:lineRule="auto"/>
        <w:ind w:left="540"/>
        <w:contextualSpacing/>
        <w:jc w:val="both"/>
        <w:rPr>
          <w:rFonts w:cs="Times New Roman"/>
          <w:lang w:val="en"/>
        </w:rPr>
      </w:pPr>
      <w:r w:rsidRPr="00C828D9">
        <w:rPr>
          <w:rFonts w:cs="Times New Roman"/>
          <w:b/>
          <w:bCs/>
          <w:lang w:val="en"/>
        </w:rPr>
        <w:t>Federal Deposit Insurance Cooperation (FDIC):</w:t>
      </w:r>
      <w:r w:rsidRPr="00C828D9">
        <w:rPr>
          <w:rFonts w:cs="Times New Roman"/>
          <w:lang w:val="en"/>
        </w:rPr>
        <w:t xml:space="preserve"> Federal agency that insures deposits at commercial banks, currently to a limit of $250,000 per depositor per bank. </w:t>
      </w:r>
    </w:p>
    <w:p w:rsidR="008B54E8" w:rsidRPr="00C828D9" w:rsidRDefault="008B54E8" w:rsidP="008B54E8">
      <w:pPr>
        <w:numPr>
          <w:ilvl w:val="1"/>
          <w:numId w:val="10"/>
        </w:numPr>
        <w:tabs>
          <w:tab w:val="clear" w:pos="1440"/>
          <w:tab w:val="num" w:pos="1080"/>
        </w:tabs>
        <w:spacing w:line="240" w:lineRule="auto"/>
        <w:ind w:left="540"/>
        <w:contextualSpacing/>
        <w:jc w:val="both"/>
        <w:rPr>
          <w:rFonts w:cs="Times New Roman"/>
          <w:lang w:val="en"/>
        </w:rPr>
      </w:pPr>
      <w:r w:rsidRPr="00C828D9">
        <w:rPr>
          <w:rFonts w:cs="Times New Roman"/>
          <w:b/>
          <w:bCs/>
          <w:lang w:val="en"/>
        </w:rPr>
        <w:t>Financial Industry Regulatory Authority (FINRA):</w:t>
      </w:r>
      <w:r w:rsidRPr="00C828D9">
        <w:rPr>
          <w:rFonts w:cs="Times New Roman"/>
          <w:lang w:val="en"/>
        </w:rPr>
        <w:t xml:space="preserve"> A self-regulatory organization under the Securities Exchange Act of 1934, which is responsible for regulatory oversight of all securities firms that do business with the public. </w:t>
      </w:r>
    </w:p>
    <w:p w:rsidR="008B54E8" w:rsidRPr="00C828D9" w:rsidRDefault="008B54E8" w:rsidP="008B54E8">
      <w:pPr>
        <w:numPr>
          <w:ilvl w:val="1"/>
          <w:numId w:val="10"/>
        </w:numPr>
        <w:tabs>
          <w:tab w:val="clear" w:pos="1440"/>
          <w:tab w:val="num" w:pos="1080"/>
        </w:tabs>
        <w:spacing w:line="240" w:lineRule="auto"/>
        <w:ind w:left="540"/>
        <w:contextualSpacing/>
        <w:jc w:val="both"/>
        <w:rPr>
          <w:rFonts w:cs="Times New Roman"/>
          <w:lang w:val="en"/>
        </w:rPr>
      </w:pPr>
      <w:r w:rsidRPr="00C828D9">
        <w:rPr>
          <w:rFonts w:cs="Times New Roman"/>
          <w:b/>
          <w:bCs/>
          <w:lang w:val="en"/>
        </w:rPr>
        <w:t>Floating Rate Security (FRN or "floater"):</w:t>
      </w:r>
      <w:r w:rsidRPr="00C828D9">
        <w:rPr>
          <w:rFonts w:cs="Times New Roman"/>
          <w:lang w:val="en"/>
        </w:rPr>
        <w:t xml:space="preserve"> A bond with an interest rate that is adjusted according to changes in an interest rate or index. Differs from variable-rate debt in that the changes to the rate take place immediately when the index changes, rather than on a predetermined schedule. See also "Variable Rate Security." </w:t>
      </w:r>
    </w:p>
    <w:p w:rsidR="008B54E8" w:rsidRPr="00C828D9" w:rsidRDefault="008B54E8" w:rsidP="008B54E8">
      <w:pPr>
        <w:numPr>
          <w:ilvl w:val="1"/>
          <w:numId w:val="10"/>
        </w:numPr>
        <w:tabs>
          <w:tab w:val="clear" w:pos="1440"/>
          <w:tab w:val="num" w:pos="1080"/>
        </w:tabs>
        <w:spacing w:line="240" w:lineRule="auto"/>
        <w:ind w:left="540"/>
        <w:contextualSpacing/>
        <w:jc w:val="both"/>
        <w:rPr>
          <w:rFonts w:cs="Times New Roman"/>
          <w:lang w:val="en"/>
        </w:rPr>
      </w:pPr>
      <w:r w:rsidRPr="00C828D9">
        <w:rPr>
          <w:rFonts w:cs="Times New Roman"/>
          <w:b/>
          <w:bCs/>
          <w:lang w:val="en"/>
        </w:rPr>
        <w:t>Foreign Notes:</w:t>
      </w:r>
      <w:r w:rsidRPr="00C828D9">
        <w:rPr>
          <w:rFonts w:cs="Times New Roman"/>
          <w:lang w:val="en"/>
        </w:rPr>
        <w:t xml:space="preserve"> A debt security issued by a national government denominated in a foreign currency or U. S. dollars. </w:t>
      </w:r>
    </w:p>
    <w:p w:rsidR="008B54E8" w:rsidRPr="00C828D9" w:rsidRDefault="008B54E8" w:rsidP="008B54E8">
      <w:pPr>
        <w:numPr>
          <w:ilvl w:val="1"/>
          <w:numId w:val="10"/>
        </w:numPr>
        <w:tabs>
          <w:tab w:val="clear" w:pos="1440"/>
          <w:tab w:val="num" w:pos="1080"/>
        </w:tabs>
        <w:spacing w:line="240" w:lineRule="auto"/>
        <w:ind w:left="540"/>
        <w:contextualSpacing/>
        <w:jc w:val="both"/>
        <w:rPr>
          <w:rFonts w:cs="Times New Roman"/>
          <w:lang w:val="en"/>
        </w:rPr>
      </w:pPr>
      <w:r w:rsidRPr="00C828D9">
        <w:rPr>
          <w:rFonts w:cs="Times New Roman"/>
          <w:b/>
          <w:bCs/>
          <w:lang w:val="en"/>
        </w:rPr>
        <w:t>Government Accounting Standards Board (GASB):</w:t>
      </w:r>
      <w:r w:rsidRPr="00C828D9">
        <w:rPr>
          <w:rFonts w:cs="Times New Roman"/>
          <w:lang w:val="en"/>
        </w:rPr>
        <w:t xml:space="preserve"> A non-profit organization that establishes generally accepted accounting principles (GAAP) for state and local governments in the United States. </w:t>
      </w:r>
    </w:p>
    <w:p w:rsidR="008B54E8" w:rsidRPr="00C828D9" w:rsidRDefault="008B54E8" w:rsidP="008B54E8">
      <w:pPr>
        <w:numPr>
          <w:ilvl w:val="1"/>
          <w:numId w:val="10"/>
        </w:numPr>
        <w:tabs>
          <w:tab w:val="clear" w:pos="1440"/>
          <w:tab w:val="num" w:pos="1080"/>
        </w:tabs>
        <w:spacing w:line="240" w:lineRule="auto"/>
        <w:ind w:left="540"/>
        <w:contextualSpacing/>
        <w:jc w:val="both"/>
        <w:rPr>
          <w:rFonts w:cs="Times New Roman"/>
          <w:lang w:val="en"/>
        </w:rPr>
      </w:pPr>
      <w:r w:rsidRPr="00C828D9">
        <w:rPr>
          <w:rFonts w:cs="Times New Roman"/>
          <w:b/>
          <w:bCs/>
          <w:lang w:val="en"/>
        </w:rPr>
        <w:t>Government Securities:</w:t>
      </w:r>
      <w:r w:rsidRPr="00C828D9">
        <w:rPr>
          <w:rFonts w:cs="Times New Roman"/>
          <w:lang w:val="en"/>
        </w:rPr>
        <w:t xml:space="preserve"> An obligation of the U.S. government, backed by the full faith and credit of the government. These securities are regarded as the highest quality of investment securities available in the U.S. securities market. See "Treasury Bills, Notes, and Bonds." </w:t>
      </w:r>
    </w:p>
    <w:p w:rsidR="008B54E8" w:rsidRPr="00C828D9" w:rsidRDefault="008B54E8" w:rsidP="008B54E8">
      <w:pPr>
        <w:numPr>
          <w:ilvl w:val="1"/>
          <w:numId w:val="10"/>
        </w:numPr>
        <w:tabs>
          <w:tab w:val="clear" w:pos="1440"/>
          <w:tab w:val="num" w:pos="1080"/>
        </w:tabs>
        <w:spacing w:line="240" w:lineRule="auto"/>
        <w:ind w:left="540"/>
        <w:contextualSpacing/>
        <w:jc w:val="both"/>
        <w:rPr>
          <w:rFonts w:cs="Times New Roman"/>
          <w:lang w:val="en"/>
        </w:rPr>
      </w:pPr>
      <w:r w:rsidRPr="00C828D9">
        <w:rPr>
          <w:rFonts w:cs="Times New Roman"/>
          <w:b/>
          <w:bCs/>
          <w:lang w:val="en"/>
        </w:rPr>
        <w:t>Government Sponsored Enterprise (GSE):</w:t>
      </w:r>
      <w:r w:rsidRPr="00C828D9">
        <w:rPr>
          <w:rFonts w:cs="Times New Roman"/>
          <w:lang w:val="en"/>
        </w:rPr>
        <w:t xml:space="preserve"> A financial services corporation created by the United States Congress. Their intended function is to enhance the flow of credit to targeted sectors of the economy and to make those segments of the capital market more efficient and transparent, and to reduce the risk to investors and other suppliers of capital. </w:t>
      </w:r>
    </w:p>
    <w:p w:rsidR="008B54E8" w:rsidRPr="00C828D9" w:rsidRDefault="008B54E8" w:rsidP="008B54E8">
      <w:pPr>
        <w:numPr>
          <w:ilvl w:val="1"/>
          <w:numId w:val="10"/>
        </w:numPr>
        <w:tabs>
          <w:tab w:val="clear" w:pos="1440"/>
          <w:tab w:val="num" w:pos="1080"/>
        </w:tabs>
        <w:spacing w:line="240" w:lineRule="auto"/>
        <w:ind w:left="540"/>
        <w:contextualSpacing/>
        <w:jc w:val="both"/>
        <w:rPr>
          <w:rFonts w:cs="Times New Roman"/>
          <w:lang w:val="en"/>
        </w:rPr>
      </w:pPr>
      <w:r w:rsidRPr="00C828D9">
        <w:rPr>
          <w:rFonts w:cs="Times New Roman"/>
          <w:b/>
          <w:bCs/>
          <w:lang w:val="en"/>
        </w:rPr>
        <w:lastRenderedPageBreak/>
        <w:t>Instrumentality:</w:t>
      </w:r>
      <w:r w:rsidRPr="00C828D9">
        <w:rPr>
          <w:rFonts w:cs="Times New Roman"/>
          <w:lang w:val="en"/>
        </w:rPr>
        <w:t xml:space="preserve"> An organization that serves a public purpose and is closely tied to a federal and/or state government, but is not a government agency. Many instrumentalities are private companies, and some are chartered directly by state or federal government. </w:t>
      </w:r>
    </w:p>
    <w:p w:rsidR="008B54E8" w:rsidRPr="00C828D9" w:rsidRDefault="008B54E8" w:rsidP="008B54E8">
      <w:pPr>
        <w:numPr>
          <w:ilvl w:val="1"/>
          <w:numId w:val="10"/>
        </w:numPr>
        <w:tabs>
          <w:tab w:val="clear" w:pos="1440"/>
          <w:tab w:val="num" w:pos="1080"/>
        </w:tabs>
        <w:spacing w:line="240" w:lineRule="auto"/>
        <w:ind w:left="540"/>
        <w:contextualSpacing/>
        <w:jc w:val="both"/>
        <w:rPr>
          <w:rFonts w:cs="Times New Roman"/>
          <w:lang w:val="en"/>
        </w:rPr>
      </w:pPr>
      <w:r w:rsidRPr="00C828D9">
        <w:rPr>
          <w:rFonts w:cs="Times New Roman"/>
          <w:b/>
          <w:bCs/>
          <w:lang w:val="en"/>
        </w:rPr>
        <w:t>Investment Adviser:</w:t>
      </w:r>
      <w:r w:rsidRPr="00C828D9">
        <w:rPr>
          <w:rFonts w:cs="Times New Roman"/>
          <w:lang w:val="en"/>
        </w:rPr>
        <w:t xml:space="preserve"> A company that provides professional advice managing portfolios, investment recommendations and/or research in exchange for a management fee. </w:t>
      </w:r>
    </w:p>
    <w:p w:rsidR="008B54E8" w:rsidRPr="00C828D9" w:rsidRDefault="008B54E8" w:rsidP="008B54E8">
      <w:pPr>
        <w:numPr>
          <w:ilvl w:val="1"/>
          <w:numId w:val="10"/>
        </w:numPr>
        <w:tabs>
          <w:tab w:val="clear" w:pos="1440"/>
          <w:tab w:val="num" w:pos="1080"/>
        </w:tabs>
        <w:spacing w:line="240" w:lineRule="auto"/>
        <w:ind w:left="540"/>
        <w:contextualSpacing/>
        <w:jc w:val="both"/>
        <w:rPr>
          <w:rFonts w:cs="Times New Roman"/>
          <w:lang w:val="en"/>
        </w:rPr>
      </w:pPr>
      <w:r w:rsidRPr="00C828D9">
        <w:rPr>
          <w:rFonts w:cs="Times New Roman"/>
          <w:b/>
          <w:bCs/>
          <w:lang w:val="en"/>
        </w:rPr>
        <w:t>Investment Adviser’s Act of 1940:</w:t>
      </w:r>
      <w:r w:rsidRPr="00C828D9">
        <w:rPr>
          <w:rFonts w:cs="Times New Roman"/>
          <w:lang w:val="en"/>
        </w:rPr>
        <w:t xml:space="preserve"> Legislation passed by Congress in 1940 that requires all investment advisers to register with the Securities and Exchange Commission. The Act is designed to protect the public from fraud or misrepresentation by investment advisers. </w:t>
      </w:r>
    </w:p>
    <w:p w:rsidR="008B54E8" w:rsidRPr="00C828D9" w:rsidRDefault="008B54E8" w:rsidP="008B54E8">
      <w:pPr>
        <w:numPr>
          <w:ilvl w:val="1"/>
          <w:numId w:val="10"/>
        </w:numPr>
        <w:tabs>
          <w:tab w:val="clear" w:pos="1440"/>
          <w:tab w:val="num" w:pos="1080"/>
        </w:tabs>
        <w:spacing w:line="240" w:lineRule="auto"/>
        <w:ind w:left="540"/>
        <w:contextualSpacing/>
        <w:jc w:val="both"/>
        <w:rPr>
          <w:rFonts w:cs="Times New Roman"/>
          <w:lang w:val="en"/>
        </w:rPr>
      </w:pPr>
      <w:r w:rsidRPr="00C828D9">
        <w:rPr>
          <w:rFonts w:cs="Times New Roman"/>
          <w:b/>
          <w:bCs/>
          <w:lang w:val="en"/>
        </w:rPr>
        <w:t>Liquidity:</w:t>
      </w:r>
      <w:r w:rsidRPr="00C828D9">
        <w:rPr>
          <w:rFonts w:cs="Times New Roman"/>
          <w:lang w:val="en"/>
        </w:rPr>
        <w:t xml:space="preserve"> The ability of ease with which an asset can be converted into cash without a substantial loss of value. In the money market, a security is said to be liquid if the spread between bid and asked prices is narrow and reasonable size can be transacted at those quotes. </w:t>
      </w:r>
    </w:p>
    <w:p w:rsidR="008B54E8" w:rsidRPr="00C828D9" w:rsidRDefault="008B54E8" w:rsidP="008B54E8">
      <w:pPr>
        <w:numPr>
          <w:ilvl w:val="1"/>
          <w:numId w:val="10"/>
        </w:numPr>
        <w:tabs>
          <w:tab w:val="clear" w:pos="1440"/>
          <w:tab w:val="num" w:pos="1080"/>
        </w:tabs>
        <w:spacing w:line="240" w:lineRule="auto"/>
        <w:ind w:left="540"/>
        <w:contextualSpacing/>
        <w:jc w:val="both"/>
        <w:rPr>
          <w:rFonts w:cs="Times New Roman"/>
          <w:lang w:val="en"/>
        </w:rPr>
      </w:pPr>
      <w:r w:rsidRPr="00C828D9">
        <w:rPr>
          <w:rFonts w:cs="Times New Roman"/>
          <w:b/>
          <w:bCs/>
          <w:lang w:val="en"/>
        </w:rPr>
        <w:t>Local Government Investment Program (LGIP):</w:t>
      </w:r>
      <w:r w:rsidRPr="00C828D9">
        <w:rPr>
          <w:rFonts w:cs="Times New Roman"/>
          <w:lang w:val="en"/>
        </w:rPr>
        <w:t xml:space="preserve"> An investment by local governments in which their money is pooled as a method for managing local funds. </w:t>
      </w:r>
    </w:p>
    <w:p w:rsidR="008B54E8" w:rsidRPr="00C828D9" w:rsidRDefault="008B54E8" w:rsidP="008B54E8">
      <w:pPr>
        <w:numPr>
          <w:ilvl w:val="1"/>
          <w:numId w:val="10"/>
        </w:numPr>
        <w:tabs>
          <w:tab w:val="clear" w:pos="1440"/>
          <w:tab w:val="num" w:pos="1080"/>
        </w:tabs>
        <w:spacing w:line="240" w:lineRule="auto"/>
        <w:ind w:left="540"/>
        <w:contextualSpacing/>
        <w:jc w:val="both"/>
        <w:rPr>
          <w:rFonts w:cs="Times New Roman"/>
          <w:lang w:val="en"/>
        </w:rPr>
      </w:pPr>
      <w:r w:rsidRPr="00C828D9">
        <w:rPr>
          <w:rFonts w:cs="Times New Roman"/>
          <w:b/>
          <w:bCs/>
          <w:lang w:val="en"/>
        </w:rPr>
        <w:t>Long-Term Credit Rating:</w:t>
      </w:r>
      <w:r w:rsidRPr="00C828D9">
        <w:rPr>
          <w:rFonts w:cs="Times New Roman"/>
          <w:lang w:val="en"/>
        </w:rPr>
        <w:t xml:space="preserve"> Probability factor of a security issuer going into default over a long time frame. </w:t>
      </w:r>
    </w:p>
    <w:p w:rsidR="008B54E8" w:rsidRPr="00C828D9" w:rsidRDefault="008B54E8" w:rsidP="008B54E8">
      <w:pPr>
        <w:numPr>
          <w:ilvl w:val="1"/>
          <w:numId w:val="10"/>
        </w:numPr>
        <w:tabs>
          <w:tab w:val="clear" w:pos="1440"/>
          <w:tab w:val="num" w:pos="1080"/>
        </w:tabs>
        <w:spacing w:line="240" w:lineRule="auto"/>
        <w:ind w:left="540"/>
        <w:contextualSpacing/>
        <w:jc w:val="both"/>
        <w:rPr>
          <w:rFonts w:cs="Times New Roman"/>
          <w:lang w:val="en"/>
        </w:rPr>
      </w:pPr>
      <w:r w:rsidRPr="00C828D9">
        <w:rPr>
          <w:rFonts w:cs="Times New Roman"/>
          <w:b/>
          <w:bCs/>
          <w:lang w:val="en"/>
        </w:rPr>
        <w:t>Market Value:</w:t>
      </w:r>
      <w:r w:rsidRPr="00C828D9">
        <w:rPr>
          <w:rFonts w:cs="Times New Roman"/>
          <w:lang w:val="en"/>
        </w:rPr>
        <w:t xml:space="preserve"> The price at which a security is trading and could presumably be purchased or sold. </w:t>
      </w:r>
    </w:p>
    <w:p w:rsidR="008B54E8" w:rsidRPr="00C828D9" w:rsidRDefault="008B54E8" w:rsidP="008B54E8">
      <w:pPr>
        <w:numPr>
          <w:ilvl w:val="1"/>
          <w:numId w:val="10"/>
        </w:numPr>
        <w:tabs>
          <w:tab w:val="clear" w:pos="1440"/>
          <w:tab w:val="num" w:pos="1080"/>
        </w:tabs>
        <w:spacing w:line="240" w:lineRule="auto"/>
        <w:ind w:left="540"/>
        <w:contextualSpacing/>
        <w:jc w:val="both"/>
        <w:rPr>
          <w:rFonts w:cs="Times New Roman"/>
          <w:lang w:val="en"/>
        </w:rPr>
      </w:pPr>
      <w:r w:rsidRPr="00C828D9">
        <w:rPr>
          <w:rFonts w:cs="Times New Roman"/>
          <w:b/>
          <w:bCs/>
          <w:lang w:val="en"/>
        </w:rPr>
        <w:t>Master Repurchase Agreement:</w:t>
      </w:r>
      <w:r w:rsidRPr="00C828D9">
        <w:rPr>
          <w:rFonts w:cs="Times New Roman"/>
          <w:lang w:val="en"/>
        </w:rPr>
        <w:t xml:space="preserve"> A written contract covering all future transactions between the parties to repurchase-reverse repurchase agreements that establishes each party’s rights in the transactions. A master agreement will often specify, among other things, the right of the buyer-lender to liquidate the underlying securities in the event of default by the seller borrower. </w:t>
      </w:r>
    </w:p>
    <w:p w:rsidR="008B54E8" w:rsidRPr="00C828D9" w:rsidRDefault="008B54E8" w:rsidP="008B54E8">
      <w:pPr>
        <w:numPr>
          <w:ilvl w:val="1"/>
          <w:numId w:val="10"/>
        </w:numPr>
        <w:tabs>
          <w:tab w:val="clear" w:pos="1440"/>
          <w:tab w:val="num" w:pos="1080"/>
        </w:tabs>
        <w:spacing w:line="240" w:lineRule="auto"/>
        <w:ind w:left="540"/>
        <w:contextualSpacing/>
        <w:jc w:val="both"/>
        <w:rPr>
          <w:rFonts w:cs="Times New Roman"/>
          <w:lang w:val="en"/>
        </w:rPr>
      </w:pPr>
      <w:r w:rsidRPr="00C828D9">
        <w:rPr>
          <w:rFonts w:cs="Times New Roman"/>
          <w:b/>
          <w:bCs/>
          <w:lang w:val="en"/>
        </w:rPr>
        <w:t>Maturity:</w:t>
      </w:r>
      <w:r w:rsidRPr="00C828D9">
        <w:rPr>
          <w:rFonts w:cs="Times New Roman"/>
          <w:lang w:val="en"/>
        </w:rPr>
        <w:t xml:space="preserve"> The date upon which the principal or stated value of an investment becomes due and payable. </w:t>
      </w:r>
    </w:p>
    <w:p w:rsidR="008B54E8" w:rsidRPr="00C828D9" w:rsidRDefault="008B54E8" w:rsidP="008B54E8">
      <w:pPr>
        <w:numPr>
          <w:ilvl w:val="1"/>
          <w:numId w:val="10"/>
        </w:numPr>
        <w:tabs>
          <w:tab w:val="clear" w:pos="1440"/>
          <w:tab w:val="num" w:pos="1080"/>
        </w:tabs>
        <w:spacing w:line="240" w:lineRule="auto"/>
        <w:ind w:left="540"/>
        <w:contextualSpacing/>
        <w:jc w:val="both"/>
        <w:rPr>
          <w:rFonts w:cs="Times New Roman"/>
          <w:lang w:val="en"/>
        </w:rPr>
      </w:pPr>
      <w:r w:rsidRPr="00C828D9">
        <w:rPr>
          <w:rFonts w:cs="Times New Roman"/>
          <w:b/>
          <w:bCs/>
          <w:lang w:val="en"/>
        </w:rPr>
        <w:t>Money Market Fund:</w:t>
      </w:r>
      <w:r w:rsidRPr="00C828D9">
        <w:rPr>
          <w:rFonts w:cs="Times New Roman"/>
          <w:lang w:val="en"/>
        </w:rPr>
        <w:t xml:space="preserve"> An investment whose objective is to earn interest for shareholders while maintaining a net asset value (NAV) of $1 per share. A money market fund's portfolio is comprised of short-term (less than thirteen months to maturity) securities representing high-quality, liquid debt and monetary instruments. Rules related to the management of money market funds will change in 2016; subsequently, not all money market funds will maintain a NAV of $1. </w:t>
      </w:r>
    </w:p>
    <w:p w:rsidR="008B54E8" w:rsidRPr="00C828D9" w:rsidRDefault="008B54E8" w:rsidP="008B54E8">
      <w:pPr>
        <w:numPr>
          <w:ilvl w:val="1"/>
          <w:numId w:val="10"/>
        </w:numPr>
        <w:tabs>
          <w:tab w:val="clear" w:pos="1440"/>
          <w:tab w:val="num" w:pos="1080"/>
        </w:tabs>
        <w:spacing w:line="240" w:lineRule="auto"/>
        <w:ind w:left="540"/>
        <w:contextualSpacing/>
        <w:jc w:val="both"/>
        <w:rPr>
          <w:rFonts w:cs="Times New Roman"/>
          <w:lang w:val="en"/>
        </w:rPr>
      </w:pPr>
      <w:r w:rsidRPr="00C828D9">
        <w:rPr>
          <w:rFonts w:cs="Times New Roman"/>
          <w:b/>
          <w:bCs/>
          <w:lang w:val="en"/>
        </w:rPr>
        <w:t>Municipal Obligations:</w:t>
      </w:r>
      <w:r w:rsidRPr="00C828D9">
        <w:rPr>
          <w:rFonts w:cs="Times New Roman"/>
          <w:lang w:val="en"/>
        </w:rPr>
        <w:t xml:space="preserve"> A form of debt obligation issued by states, provinces, cities or towns, typically used to fund municipal and local projects. </w:t>
      </w:r>
    </w:p>
    <w:p w:rsidR="008B54E8" w:rsidRPr="00C828D9" w:rsidRDefault="008B54E8" w:rsidP="008B54E8">
      <w:pPr>
        <w:numPr>
          <w:ilvl w:val="1"/>
          <w:numId w:val="10"/>
        </w:numPr>
        <w:tabs>
          <w:tab w:val="clear" w:pos="1440"/>
          <w:tab w:val="num" w:pos="1080"/>
        </w:tabs>
        <w:spacing w:line="240" w:lineRule="auto"/>
        <w:ind w:left="540"/>
        <w:contextualSpacing/>
        <w:jc w:val="both"/>
        <w:rPr>
          <w:rFonts w:cs="Times New Roman"/>
          <w:lang w:val="en"/>
        </w:rPr>
      </w:pPr>
      <w:r w:rsidRPr="00C828D9">
        <w:rPr>
          <w:rFonts w:cs="Times New Roman"/>
          <w:b/>
          <w:bCs/>
          <w:lang w:val="en"/>
        </w:rPr>
        <w:t>Mutual Fund:</w:t>
      </w:r>
      <w:r w:rsidRPr="00C828D9">
        <w:rPr>
          <w:rFonts w:cs="Times New Roman"/>
          <w:lang w:val="en"/>
        </w:rPr>
        <w:t xml:space="preserve"> Portfolio of securities professionally managed by a registered investment company that issues shares to investors. Many different types of mutual funds exist (e.g., bond, equity, and money market funds); all except money market funds operate on a variable net asset value (NAV). </w:t>
      </w:r>
    </w:p>
    <w:p w:rsidR="008B54E8" w:rsidRPr="00C828D9" w:rsidRDefault="008B54E8" w:rsidP="008B54E8">
      <w:pPr>
        <w:numPr>
          <w:ilvl w:val="1"/>
          <w:numId w:val="10"/>
        </w:numPr>
        <w:tabs>
          <w:tab w:val="clear" w:pos="1440"/>
          <w:tab w:val="num" w:pos="1080"/>
        </w:tabs>
        <w:spacing w:line="240" w:lineRule="auto"/>
        <w:ind w:left="540"/>
        <w:contextualSpacing/>
        <w:jc w:val="both"/>
        <w:rPr>
          <w:rFonts w:cs="Times New Roman"/>
          <w:lang w:val="en"/>
        </w:rPr>
      </w:pPr>
      <w:r w:rsidRPr="00C828D9">
        <w:rPr>
          <w:rFonts w:cs="Times New Roman"/>
          <w:b/>
          <w:bCs/>
          <w:lang w:val="en"/>
        </w:rPr>
        <w:t>Nationally Recognized Statistical Rating Organization (NRSRO):</w:t>
      </w:r>
      <w:r w:rsidRPr="00C828D9">
        <w:rPr>
          <w:rFonts w:cs="Times New Roman"/>
          <w:lang w:val="en"/>
        </w:rPr>
        <w:t xml:space="preserve"> A credit rating agency which issues credit ratings that the U.S. Securities and Exchange Commission (SEC) permits other financial firms to use for certain regulatory purposes. Several examples include Moody’s Investor Service, Standard &amp; Poor’s and Fitch Ratings. </w:t>
      </w:r>
    </w:p>
    <w:p w:rsidR="008B54E8" w:rsidRPr="00C828D9" w:rsidRDefault="008B54E8" w:rsidP="008B54E8">
      <w:pPr>
        <w:numPr>
          <w:ilvl w:val="1"/>
          <w:numId w:val="10"/>
        </w:numPr>
        <w:tabs>
          <w:tab w:val="clear" w:pos="1440"/>
          <w:tab w:val="num" w:pos="1080"/>
        </w:tabs>
        <w:spacing w:line="240" w:lineRule="auto"/>
        <w:ind w:left="540"/>
        <w:contextualSpacing/>
        <w:jc w:val="both"/>
        <w:rPr>
          <w:rFonts w:cs="Times New Roman"/>
          <w:lang w:val="en"/>
        </w:rPr>
      </w:pPr>
      <w:r w:rsidRPr="00C828D9">
        <w:rPr>
          <w:rFonts w:cs="Times New Roman"/>
          <w:b/>
          <w:bCs/>
          <w:lang w:val="en"/>
        </w:rPr>
        <w:t>Net Assets:</w:t>
      </w:r>
      <w:r w:rsidRPr="00C828D9">
        <w:rPr>
          <w:rFonts w:cs="Times New Roman"/>
          <w:lang w:val="en"/>
        </w:rPr>
        <w:t xml:space="preserve"> The total assets of a business minus its total liabilities. </w:t>
      </w:r>
    </w:p>
    <w:p w:rsidR="008B54E8" w:rsidRPr="00C828D9" w:rsidRDefault="008B54E8" w:rsidP="008B54E8">
      <w:pPr>
        <w:numPr>
          <w:ilvl w:val="1"/>
          <w:numId w:val="10"/>
        </w:numPr>
        <w:tabs>
          <w:tab w:val="clear" w:pos="1440"/>
          <w:tab w:val="num" w:pos="1080"/>
        </w:tabs>
        <w:spacing w:line="240" w:lineRule="auto"/>
        <w:ind w:left="540"/>
        <w:contextualSpacing/>
        <w:jc w:val="both"/>
        <w:rPr>
          <w:rFonts w:cs="Times New Roman"/>
          <w:lang w:val="en"/>
        </w:rPr>
      </w:pPr>
      <w:r w:rsidRPr="00C828D9">
        <w:rPr>
          <w:rFonts w:cs="Times New Roman"/>
          <w:b/>
          <w:bCs/>
          <w:lang w:val="en"/>
        </w:rPr>
        <w:t>No-Load:</w:t>
      </w:r>
      <w:r w:rsidRPr="00C828D9">
        <w:rPr>
          <w:rFonts w:cs="Times New Roman"/>
          <w:lang w:val="en"/>
        </w:rPr>
        <w:t xml:space="preserve"> A mutual fund which does not levy a sales charge on the purchase of its shares. Transaction fees will still apply. </w:t>
      </w:r>
    </w:p>
    <w:p w:rsidR="008B54E8" w:rsidRPr="00C828D9" w:rsidRDefault="008B54E8" w:rsidP="008B54E8">
      <w:pPr>
        <w:numPr>
          <w:ilvl w:val="1"/>
          <w:numId w:val="10"/>
        </w:numPr>
        <w:tabs>
          <w:tab w:val="clear" w:pos="1440"/>
          <w:tab w:val="num" w:pos="1080"/>
        </w:tabs>
        <w:spacing w:line="240" w:lineRule="auto"/>
        <w:ind w:left="540"/>
        <w:contextualSpacing/>
        <w:jc w:val="both"/>
        <w:rPr>
          <w:rFonts w:cs="Times New Roman"/>
          <w:lang w:val="en"/>
        </w:rPr>
      </w:pPr>
      <w:r w:rsidRPr="00C828D9">
        <w:rPr>
          <w:rFonts w:cs="Times New Roman"/>
          <w:b/>
          <w:bCs/>
          <w:lang w:val="en"/>
        </w:rPr>
        <w:t>Offer:</w:t>
      </w:r>
      <w:r w:rsidRPr="00C828D9">
        <w:rPr>
          <w:rFonts w:cs="Times New Roman"/>
          <w:lang w:val="en"/>
        </w:rPr>
        <w:t xml:space="preserve"> The price at which a seller is willing to sell a security. </w:t>
      </w:r>
    </w:p>
    <w:p w:rsidR="008B54E8" w:rsidRPr="00C828D9" w:rsidRDefault="008B54E8" w:rsidP="008B54E8">
      <w:pPr>
        <w:numPr>
          <w:ilvl w:val="1"/>
          <w:numId w:val="10"/>
        </w:numPr>
        <w:tabs>
          <w:tab w:val="clear" w:pos="1440"/>
          <w:tab w:val="num" w:pos="1080"/>
        </w:tabs>
        <w:spacing w:line="240" w:lineRule="auto"/>
        <w:ind w:left="540"/>
        <w:contextualSpacing/>
        <w:jc w:val="both"/>
        <w:rPr>
          <w:rFonts w:cs="Times New Roman"/>
          <w:lang w:val="en"/>
        </w:rPr>
      </w:pPr>
      <w:r w:rsidRPr="00C828D9">
        <w:rPr>
          <w:rFonts w:cs="Times New Roman"/>
          <w:b/>
          <w:bCs/>
          <w:lang w:val="en"/>
        </w:rPr>
        <w:t>Open End:</w:t>
      </w:r>
      <w:r w:rsidRPr="00C828D9">
        <w:rPr>
          <w:rFonts w:cs="Times New Roman"/>
          <w:lang w:val="en"/>
        </w:rPr>
        <w:t xml:space="preserve"> A type of mutual fund that does not have restrictions on the amount of shares the fund will issue. If demand is high enough, the fund will continue to issue shares no matter </w:t>
      </w:r>
      <w:r w:rsidRPr="00C828D9">
        <w:rPr>
          <w:rFonts w:cs="Times New Roman"/>
          <w:lang w:val="en"/>
        </w:rPr>
        <w:lastRenderedPageBreak/>
        <w:t xml:space="preserve">how many investors there are. Open-end funds also buy back shares when investors wish to sell. </w:t>
      </w:r>
    </w:p>
    <w:p w:rsidR="008B54E8" w:rsidRPr="00C828D9" w:rsidRDefault="008B54E8" w:rsidP="008B54E8">
      <w:pPr>
        <w:numPr>
          <w:ilvl w:val="1"/>
          <w:numId w:val="10"/>
        </w:numPr>
        <w:tabs>
          <w:tab w:val="clear" w:pos="1440"/>
          <w:tab w:val="num" w:pos="1080"/>
        </w:tabs>
        <w:spacing w:line="240" w:lineRule="auto"/>
        <w:ind w:left="540"/>
        <w:contextualSpacing/>
        <w:jc w:val="both"/>
        <w:rPr>
          <w:rFonts w:cs="Times New Roman"/>
          <w:lang w:val="en"/>
        </w:rPr>
      </w:pPr>
      <w:r w:rsidRPr="00C828D9">
        <w:rPr>
          <w:rFonts w:cs="Times New Roman"/>
          <w:b/>
          <w:bCs/>
          <w:lang w:val="en"/>
        </w:rPr>
        <w:t>Portfolio:</w:t>
      </w:r>
      <w:r w:rsidRPr="00C828D9">
        <w:rPr>
          <w:rFonts w:cs="Times New Roman"/>
          <w:lang w:val="en"/>
        </w:rPr>
        <w:t xml:space="preserve"> Collection of securities held by an investor. </w:t>
      </w:r>
    </w:p>
    <w:p w:rsidR="008B54E8" w:rsidRPr="00C828D9" w:rsidRDefault="008B54E8" w:rsidP="008B54E8">
      <w:pPr>
        <w:numPr>
          <w:ilvl w:val="1"/>
          <w:numId w:val="10"/>
        </w:numPr>
        <w:tabs>
          <w:tab w:val="clear" w:pos="1440"/>
          <w:tab w:val="num" w:pos="1080"/>
        </w:tabs>
        <w:spacing w:line="240" w:lineRule="auto"/>
        <w:ind w:left="540"/>
        <w:contextualSpacing/>
        <w:jc w:val="both"/>
        <w:rPr>
          <w:rFonts w:cs="Times New Roman"/>
          <w:lang w:val="en"/>
        </w:rPr>
      </w:pPr>
      <w:r w:rsidRPr="00C828D9">
        <w:rPr>
          <w:rFonts w:cs="Times New Roman"/>
          <w:b/>
          <w:bCs/>
          <w:lang w:val="en"/>
        </w:rPr>
        <w:t>Primary Dealer:</w:t>
      </w:r>
      <w:r w:rsidRPr="00C828D9">
        <w:rPr>
          <w:rFonts w:cs="Times New Roman"/>
          <w:lang w:val="en"/>
        </w:rPr>
        <w:t xml:space="preserve"> A group of government securities dealers who submit daily reports of market activity and positions and monthly financial statements to the Federal Reserve Bank of New York and are subject to its informal oversight. Primary dealers include Securities and Exchange Commission (SEC)-registered securities broker-dealers, banks, and a few unregulated firms. </w:t>
      </w:r>
    </w:p>
    <w:p w:rsidR="008B54E8" w:rsidRPr="00C828D9" w:rsidRDefault="008B54E8" w:rsidP="008B54E8">
      <w:pPr>
        <w:numPr>
          <w:ilvl w:val="1"/>
          <w:numId w:val="10"/>
        </w:numPr>
        <w:tabs>
          <w:tab w:val="clear" w:pos="1440"/>
          <w:tab w:val="num" w:pos="1080"/>
        </w:tabs>
        <w:spacing w:line="240" w:lineRule="auto"/>
        <w:ind w:left="540"/>
        <w:contextualSpacing/>
        <w:jc w:val="both"/>
        <w:rPr>
          <w:rFonts w:cs="Times New Roman"/>
          <w:lang w:val="en"/>
        </w:rPr>
      </w:pPr>
      <w:r w:rsidRPr="00C828D9">
        <w:rPr>
          <w:rFonts w:cs="Times New Roman"/>
          <w:b/>
          <w:bCs/>
          <w:lang w:val="en"/>
        </w:rPr>
        <w:t>Prudent Investor Standard:</w:t>
      </w:r>
      <w:r w:rsidRPr="00C828D9">
        <w:rPr>
          <w:rFonts w:cs="Times New Roman"/>
          <w:lang w:val="en"/>
        </w:rPr>
        <w:t xml:space="preserve"> Standard that requires that when investing, reinvesting, purchasing, acquiring, exchanging, selling or managing public funds, a trustee shall act with care, skill, prudence and diligence under the circumstances then prevailing, including, but not limited to, the general economic conditions and the anticipated needs of the agency, that a prudent person acting in a like capacity and familiarity with those matters would use in the conduct of funds of a like character and with like aims, to safeguard the principal and maintain the liquidity needs of the agency. It is more stringent than the "prudent person" standard as it implies a level of knowledge commensurate with the responsibility at hand. </w:t>
      </w:r>
    </w:p>
    <w:p w:rsidR="008B54E8" w:rsidRPr="00C828D9" w:rsidRDefault="008B54E8" w:rsidP="008B54E8">
      <w:pPr>
        <w:numPr>
          <w:ilvl w:val="1"/>
          <w:numId w:val="10"/>
        </w:numPr>
        <w:tabs>
          <w:tab w:val="clear" w:pos="1440"/>
          <w:tab w:val="num" w:pos="1080"/>
        </w:tabs>
        <w:spacing w:line="240" w:lineRule="auto"/>
        <w:ind w:left="540"/>
        <w:contextualSpacing/>
        <w:jc w:val="both"/>
        <w:rPr>
          <w:rFonts w:cs="Times New Roman"/>
          <w:lang w:val="en"/>
        </w:rPr>
      </w:pPr>
      <w:r w:rsidRPr="00C828D9">
        <w:rPr>
          <w:rFonts w:cs="Times New Roman"/>
          <w:b/>
          <w:bCs/>
          <w:lang w:val="en"/>
        </w:rPr>
        <w:t>Rate of Return:</w:t>
      </w:r>
      <w:r w:rsidRPr="00C828D9">
        <w:rPr>
          <w:rFonts w:cs="Times New Roman"/>
          <w:lang w:val="en"/>
        </w:rPr>
        <w:t xml:space="preserve"> The yield obtainable on a security based on its purchase price or its current market price. This may be the amortized yield to maturity on a bond or the current income return. </w:t>
      </w:r>
    </w:p>
    <w:p w:rsidR="008B54E8" w:rsidRPr="00C828D9" w:rsidRDefault="008B54E8" w:rsidP="008B54E8">
      <w:pPr>
        <w:numPr>
          <w:ilvl w:val="1"/>
          <w:numId w:val="10"/>
        </w:numPr>
        <w:tabs>
          <w:tab w:val="clear" w:pos="1440"/>
          <w:tab w:val="num" w:pos="1080"/>
        </w:tabs>
        <w:spacing w:line="240" w:lineRule="auto"/>
        <w:ind w:left="540"/>
        <w:contextualSpacing/>
        <w:jc w:val="both"/>
        <w:rPr>
          <w:rFonts w:cs="Times New Roman"/>
          <w:lang w:val="en"/>
        </w:rPr>
      </w:pPr>
      <w:r w:rsidRPr="00C828D9">
        <w:rPr>
          <w:rFonts w:cs="Times New Roman"/>
          <w:b/>
          <w:bCs/>
          <w:lang w:val="en"/>
        </w:rPr>
        <w:t>Repurchase Agreement (RP or Repo):</w:t>
      </w:r>
      <w:r w:rsidRPr="00C828D9">
        <w:rPr>
          <w:rFonts w:cs="Times New Roman"/>
          <w:lang w:val="en"/>
        </w:rPr>
        <w:t xml:space="preserve"> An agreement under which the holder of securities sells these securities to an investor with a commitment to repurchase the securities at a fixed price on a fixed date. The security’s "buyer" in effect lends the "seller" money for the period of the agreement, and the terms of the agreement are structured to compensate him for this. </w:t>
      </w:r>
    </w:p>
    <w:p w:rsidR="008B54E8" w:rsidRPr="00C828D9" w:rsidRDefault="008B54E8" w:rsidP="008B54E8">
      <w:pPr>
        <w:numPr>
          <w:ilvl w:val="1"/>
          <w:numId w:val="10"/>
        </w:numPr>
        <w:tabs>
          <w:tab w:val="clear" w:pos="1440"/>
          <w:tab w:val="num" w:pos="1080"/>
        </w:tabs>
        <w:spacing w:line="240" w:lineRule="auto"/>
        <w:ind w:left="540"/>
        <w:contextualSpacing/>
        <w:jc w:val="both"/>
        <w:rPr>
          <w:rFonts w:cs="Times New Roman"/>
          <w:lang w:val="en"/>
        </w:rPr>
      </w:pPr>
      <w:r w:rsidRPr="00C828D9">
        <w:rPr>
          <w:rFonts w:cs="Times New Roman"/>
          <w:b/>
          <w:bCs/>
          <w:lang w:val="en"/>
        </w:rPr>
        <w:t>Safekeeping:</w:t>
      </w:r>
      <w:r w:rsidRPr="00C828D9">
        <w:rPr>
          <w:rFonts w:cs="Times New Roman"/>
          <w:lang w:val="en"/>
        </w:rPr>
        <w:t xml:space="preserve"> A service rendered by banks for a fee whereby securities and valuables of all types and descriptions are held by the bank for protection. </w:t>
      </w:r>
    </w:p>
    <w:p w:rsidR="008B54E8" w:rsidRPr="00C828D9" w:rsidRDefault="008B54E8" w:rsidP="008B54E8">
      <w:pPr>
        <w:numPr>
          <w:ilvl w:val="1"/>
          <w:numId w:val="10"/>
        </w:numPr>
        <w:tabs>
          <w:tab w:val="clear" w:pos="1440"/>
          <w:tab w:val="num" w:pos="1080"/>
        </w:tabs>
        <w:spacing w:line="240" w:lineRule="auto"/>
        <w:ind w:left="540"/>
        <w:contextualSpacing/>
        <w:jc w:val="both"/>
        <w:rPr>
          <w:rFonts w:cs="Times New Roman"/>
          <w:lang w:val="en"/>
        </w:rPr>
      </w:pPr>
      <w:r w:rsidRPr="00C828D9">
        <w:rPr>
          <w:rFonts w:cs="Times New Roman"/>
          <w:b/>
          <w:bCs/>
          <w:lang w:val="en"/>
        </w:rPr>
        <w:t>SEC Rule 15C3-1:</w:t>
      </w:r>
      <w:r w:rsidRPr="00C828D9">
        <w:rPr>
          <w:rFonts w:cs="Times New Roman"/>
          <w:lang w:val="en"/>
        </w:rPr>
        <w:t xml:space="preserve"> See "Uniform Net Capital Rule." </w:t>
      </w:r>
    </w:p>
    <w:p w:rsidR="008B54E8" w:rsidRPr="00C828D9" w:rsidRDefault="008B54E8" w:rsidP="008B54E8">
      <w:pPr>
        <w:numPr>
          <w:ilvl w:val="1"/>
          <w:numId w:val="10"/>
        </w:numPr>
        <w:tabs>
          <w:tab w:val="clear" w:pos="1440"/>
          <w:tab w:val="num" w:pos="1080"/>
        </w:tabs>
        <w:spacing w:line="240" w:lineRule="auto"/>
        <w:ind w:left="540"/>
        <w:contextualSpacing/>
        <w:jc w:val="both"/>
        <w:rPr>
          <w:rFonts w:cs="Times New Roman"/>
          <w:lang w:val="en"/>
        </w:rPr>
      </w:pPr>
      <w:r w:rsidRPr="00C828D9">
        <w:rPr>
          <w:rFonts w:cs="Times New Roman"/>
          <w:b/>
          <w:bCs/>
          <w:lang w:val="en"/>
        </w:rPr>
        <w:t>Securities and Exchange Commission (SEC):</w:t>
      </w:r>
      <w:r w:rsidRPr="00C828D9">
        <w:rPr>
          <w:rFonts w:cs="Times New Roman"/>
          <w:lang w:val="en"/>
        </w:rPr>
        <w:t xml:space="preserve"> Agency created by Congress to protect investors in securities transactions by administering securities legislation. </w:t>
      </w:r>
    </w:p>
    <w:p w:rsidR="008B54E8" w:rsidRPr="00C828D9" w:rsidRDefault="008B54E8" w:rsidP="008B54E8">
      <w:pPr>
        <w:numPr>
          <w:ilvl w:val="1"/>
          <w:numId w:val="10"/>
        </w:numPr>
        <w:tabs>
          <w:tab w:val="clear" w:pos="1440"/>
          <w:tab w:val="num" w:pos="1080"/>
        </w:tabs>
        <w:spacing w:line="240" w:lineRule="auto"/>
        <w:ind w:left="540"/>
        <w:contextualSpacing/>
        <w:jc w:val="both"/>
        <w:rPr>
          <w:rFonts w:cs="Times New Roman"/>
          <w:lang w:val="en"/>
        </w:rPr>
      </w:pPr>
      <w:r w:rsidRPr="00C828D9">
        <w:rPr>
          <w:rFonts w:cs="Times New Roman"/>
          <w:b/>
          <w:bCs/>
          <w:lang w:val="en"/>
        </w:rPr>
        <w:t>Short Term Rating:</w:t>
      </w:r>
      <w:r w:rsidRPr="00C828D9">
        <w:rPr>
          <w:rFonts w:cs="Times New Roman"/>
          <w:lang w:val="en"/>
        </w:rPr>
        <w:t xml:space="preserve"> Probability factor of an issuer of debt going into default within a year. </w:t>
      </w:r>
    </w:p>
    <w:p w:rsidR="008B54E8" w:rsidRPr="00C828D9" w:rsidRDefault="008B54E8" w:rsidP="008B54E8">
      <w:pPr>
        <w:numPr>
          <w:ilvl w:val="1"/>
          <w:numId w:val="10"/>
        </w:numPr>
        <w:tabs>
          <w:tab w:val="clear" w:pos="1440"/>
          <w:tab w:val="num" w:pos="1080"/>
        </w:tabs>
        <w:spacing w:line="240" w:lineRule="auto"/>
        <w:ind w:left="540"/>
        <w:contextualSpacing/>
        <w:jc w:val="both"/>
        <w:rPr>
          <w:rFonts w:cs="Times New Roman"/>
          <w:lang w:val="en"/>
        </w:rPr>
      </w:pPr>
      <w:r w:rsidRPr="00C828D9">
        <w:rPr>
          <w:rFonts w:cs="Times New Roman"/>
          <w:b/>
          <w:bCs/>
          <w:lang w:val="en"/>
        </w:rPr>
        <w:t>Third-Party Safekeeping:</w:t>
      </w:r>
      <w:r w:rsidRPr="00C828D9">
        <w:rPr>
          <w:rFonts w:cs="Times New Roman"/>
          <w:lang w:val="en"/>
        </w:rPr>
        <w:t xml:space="preserve"> A custodial arrangement where investment securities are held by a firm that is not otherwise a party to the transaction (i.e. broker, dealer, portfolio manager) or affiliated with a party to the transaction. </w:t>
      </w:r>
    </w:p>
    <w:p w:rsidR="008B54E8" w:rsidRPr="00C828D9" w:rsidRDefault="008B54E8" w:rsidP="008B54E8">
      <w:pPr>
        <w:numPr>
          <w:ilvl w:val="1"/>
          <w:numId w:val="10"/>
        </w:numPr>
        <w:tabs>
          <w:tab w:val="clear" w:pos="1440"/>
          <w:tab w:val="num" w:pos="1080"/>
        </w:tabs>
        <w:spacing w:line="240" w:lineRule="auto"/>
        <w:ind w:left="540"/>
        <w:contextualSpacing/>
        <w:jc w:val="both"/>
        <w:rPr>
          <w:rFonts w:cs="Times New Roman"/>
          <w:lang w:val="en"/>
        </w:rPr>
      </w:pPr>
      <w:r w:rsidRPr="00C828D9">
        <w:rPr>
          <w:rFonts w:cs="Times New Roman"/>
          <w:b/>
          <w:bCs/>
          <w:lang w:val="en"/>
        </w:rPr>
        <w:t>Total Return:</w:t>
      </w:r>
      <w:r w:rsidRPr="00C828D9">
        <w:rPr>
          <w:rFonts w:cs="Times New Roman"/>
          <w:lang w:val="en"/>
        </w:rPr>
        <w:t xml:space="preserve"> Investment performance measured over a period of time that includes coupon interest, interest on interest, and both realized and unrealized gains or losses. Total return includes, therefore, any market value appreciation/depreciation on investments held at period end. </w:t>
      </w:r>
    </w:p>
    <w:p w:rsidR="008B54E8" w:rsidRPr="00C828D9" w:rsidRDefault="008B54E8" w:rsidP="008B54E8">
      <w:pPr>
        <w:numPr>
          <w:ilvl w:val="1"/>
          <w:numId w:val="10"/>
        </w:numPr>
        <w:tabs>
          <w:tab w:val="clear" w:pos="1440"/>
          <w:tab w:val="num" w:pos="1080"/>
        </w:tabs>
        <w:spacing w:line="240" w:lineRule="auto"/>
        <w:ind w:left="540"/>
        <w:contextualSpacing/>
        <w:jc w:val="both"/>
        <w:rPr>
          <w:rFonts w:cs="Times New Roman"/>
          <w:lang w:val="en"/>
        </w:rPr>
      </w:pPr>
      <w:r w:rsidRPr="00C828D9">
        <w:rPr>
          <w:rFonts w:cs="Times New Roman"/>
          <w:b/>
          <w:bCs/>
          <w:lang w:val="en"/>
        </w:rPr>
        <w:t>Treasury Bills:</w:t>
      </w:r>
      <w:r w:rsidRPr="00C828D9">
        <w:rPr>
          <w:rFonts w:cs="Times New Roman"/>
          <w:lang w:val="en"/>
        </w:rPr>
        <w:t xml:space="preserve"> A non-interest bearing discount security issued by the U.S. Treasury to finance the national debt. Most bills are issued to mature in three months, six months or one year. </w:t>
      </w:r>
    </w:p>
    <w:p w:rsidR="008B54E8" w:rsidRPr="00C828D9" w:rsidRDefault="008B54E8" w:rsidP="008B54E8">
      <w:pPr>
        <w:numPr>
          <w:ilvl w:val="1"/>
          <w:numId w:val="10"/>
        </w:numPr>
        <w:tabs>
          <w:tab w:val="clear" w:pos="1440"/>
          <w:tab w:val="num" w:pos="1080"/>
        </w:tabs>
        <w:spacing w:line="240" w:lineRule="auto"/>
        <w:ind w:left="540"/>
        <w:contextualSpacing/>
        <w:jc w:val="both"/>
        <w:rPr>
          <w:rFonts w:cs="Times New Roman"/>
          <w:lang w:val="en"/>
        </w:rPr>
      </w:pPr>
      <w:r w:rsidRPr="00C828D9">
        <w:rPr>
          <w:rFonts w:cs="Times New Roman"/>
          <w:b/>
          <w:bCs/>
          <w:lang w:val="en"/>
        </w:rPr>
        <w:t>Treasury Bonds:</w:t>
      </w:r>
      <w:r w:rsidRPr="00C828D9">
        <w:rPr>
          <w:rFonts w:cs="Times New Roman"/>
          <w:lang w:val="en"/>
        </w:rPr>
        <w:t xml:space="preserve"> Long-term, coupon-bearing U.S. Treasury securities issued as direct obligations of the U.S. Government and having initial maturities of more than 10 years. </w:t>
      </w:r>
    </w:p>
    <w:p w:rsidR="008B54E8" w:rsidRPr="00C828D9" w:rsidRDefault="008B54E8" w:rsidP="008B54E8">
      <w:pPr>
        <w:numPr>
          <w:ilvl w:val="1"/>
          <w:numId w:val="10"/>
        </w:numPr>
        <w:tabs>
          <w:tab w:val="clear" w:pos="1440"/>
          <w:tab w:val="num" w:pos="1080"/>
        </w:tabs>
        <w:spacing w:line="240" w:lineRule="auto"/>
        <w:ind w:left="540"/>
        <w:contextualSpacing/>
        <w:jc w:val="both"/>
        <w:rPr>
          <w:rFonts w:cs="Times New Roman"/>
          <w:lang w:val="en"/>
        </w:rPr>
      </w:pPr>
      <w:r w:rsidRPr="00C828D9">
        <w:rPr>
          <w:rFonts w:cs="Times New Roman"/>
          <w:b/>
          <w:bCs/>
          <w:lang w:val="en"/>
        </w:rPr>
        <w:t>Treasury Notes:</w:t>
      </w:r>
      <w:r w:rsidRPr="00C828D9">
        <w:rPr>
          <w:rFonts w:cs="Times New Roman"/>
          <w:lang w:val="en"/>
        </w:rPr>
        <w:t xml:space="preserve"> Medium-term, coupon-bearing U.S. Treasury securities issued as direct obligations of the U.S. Government and having initial maturities from two to 10 years. </w:t>
      </w:r>
    </w:p>
    <w:p w:rsidR="008B54E8" w:rsidRPr="00C828D9" w:rsidRDefault="008B54E8" w:rsidP="008B54E8">
      <w:pPr>
        <w:numPr>
          <w:ilvl w:val="1"/>
          <w:numId w:val="10"/>
        </w:numPr>
        <w:tabs>
          <w:tab w:val="clear" w:pos="1440"/>
          <w:tab w:val="num" w:pos="1080"/>
        </w:tabs>
        <w:spacing w:line="240" w:lineRule="auto"/>
        <w:ind w:left="540"/>
        <w:contextualSpacing/>
        <w:jc w:val="both"/>
        <w:rPr>
          <w:rFonts w:cs="Times New Roman"/>
          <w:lang w:val="en"/>
        </w:rPr>
      </w:pPr>
      <w:r w:rsidRPr="00C828D9">
        <w:rPr>
          <w:rFonts w:cs="Times New Roman"/>
          <w:b/>
          <w:bCs/>
          <w:lang w:val="en"/>
        </w:rPr>
        <w:t>Uniform Net Capital Rule:</w:t>
      </w:r>
      <w:r w:rsidRPr="00C828D9">
        <w:rPr>
          <w:rFonts w:cs="Times New Roman"/>
          <w:lang w:val="en"/>
        </w:rPr>
        <w:t xml:space="preserve"> Securities and Exchange Commission requirement that member firms as well as nonmember broker-dealers in securities maintain a maximum ratio of indebtedness to liquid capital of 15 to 1; also called net capital rule and net capital ratio. </w:t>
      </w:r>
      <w:r w:rsidRPr="00C828D9">
        <w:rPr>
          <w:rFonts w:cs="Times New Roman"/>
          <w:lang w:val="en"/>
        </w:rPr>
        <w:lastRenderedPageBreak/>
        <w:t xml:space="preserve">Indebtedness covers all money owed to a firm, including margin loans and commitments to purchase securities, one reason new public issues are spread among members of underwriting syndicates. Liquid capital includes cash and assets easily converted into cash. </w:t>
      </w:r>
    </w:p>
    <w:p w:rsidR="008B54E8" w:rsidRPr="00C828D9" w:rsidRDefault="008B54E8" w:rsidP="008B54E8">
      <w:pPr>
        <w:numPr>
          <w:ilvl w:val="1"/>
          <w:numId w:val="10"/>
        </w:numPr>
        <w:tabs>
          <w:tab w:val="clear" w:pos="1440"/>
          <w:tab w:val="num" w:pos="1080"/>
        </w:tabs>
        <w:spacing w:line="240" w:lineRule="auto"/>
        <w:ind w:left="540"/>
        <w:contextualSpacing/>
        <w:jc w:val="both"/>
        <w:rPr>
          <w:rFonts w:cs="Times New Roman"/>
          <w:lang w:val="en"/>
        </w:rPr>
      </w:pPr>
      <w:r w:rsidRPr="00C828D9">
        <w:rPr>
          <w:rFonts w:cs="Times New Roman"/>
          <w:b/>
          <w:bCs/>
          <w:lang w:val="en"/>
        </w:rPr>
        <w:t>Yield:</w:t>
      </w:r>
      <w:r w:rsidRPr="00C828D9">
        <w:rPr>
          <w:rFonts w:cs="Times New Roman"/>
          <w:lang w:val="en"/>
        </w:rPr>
        <w:t xml:space="preserve"> The rate of annual income return on an investment, expressed as a percentage. Income/current yield is obtained by dividing the current dollar income by the current market price for the security. Net yield or yield to maturity is the current income yield minus any premium above par or plus any discount from par in purchase price, with the adjustment spread over the period from the date of purchase to the date of maturity of the bond. </w:t>
      </w:r>
    </w:p>
    <w:p w:rsidR="008B54E8" w:rsidRPr="00C828D9" w:rsidRDefault="008B54E8" w:rsidP="008B54E8">
      <w:pPr>
        <w:tabs>
          <w:tab w:val="num" w:pos="1080"/>
        </w:tabs>
        <w:ind w:left="540"/>
        <w:jc w:val="both"/>
        <w:rPr>
          <w:rFonts w:cs="Times New Roman"/>
        </w:rPr>
      </w:pPr>
    </w:p>
    <w:sectPr w:rsidR="008B54E8" w:rsidRPr="00C828D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6FDF" w:rsidRDefault="006D6FDF" w:rsidP="00AA6D6C">
      <w:pPr>
        <w:spacing w:after="0" w:line="240" w:lineRule="auto"/>
      </w:pPr>
      <w:r>
        <w:separator/>
      </w:r>
    </w:p>
  </w:endnote>
  <w:endnote w:type="continuationSeparator" w:id="0">
    <w:p w:rsidR="006D6FDF" w:rsidRDefault="006D6FDF" w:rsidP="00AA6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0045278"/>
      <w:docPartObj>
        <w:docPartGallery w:val="Page Numbers (Bottom of Page)"/>
        <w:docPartUnique/>
      </w:docPartObj>
    </w:sdtPr>
    <w:sdtEndPr>
      <w:rPr>
        <w:noProof/>
      </w:rPr>
    </w:sdtEndPr>
    <w:sdtContent>
      <w:p w:rsidR="00AA6D6C" w:rsidRDefault="00AA6D6C">
        <w:pPr>
          <w:pStyle w:val="Footer"/>
          <w:jc w:val="right"/>
        </w:pPr>
        <w:r>
          <w:fldChar w:fldCharType="begin"/>
        </w:r>
        <w:r>
          <w:instrText xml:space="preserve"> PAGE   \* MERGEFORMAT </w:instrText>
        </w:r>
        <w:r>
          <w:fldChar w:fldCharType="separate"/>
        </w:r>
        <w:r w:rsidR="0015455D">
          <w:rPr>
            <w:noProof/>
          </w:rPr>
          <w:t>10</w:t>
        </w:r>
        <w:r>
          <w:rPr>
            <w:noProof/>
          </w:rPr>
          <w:fldChar w:fldCharType="end"/>
        </w:r>
      </w:p>
    </w:sdtContent>
  </w:sdt>
  <w:p w:rsidR="00AA6D6C" w:rsidRDefault="00AA6D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6FDF" w:rsidRDefault="006D6FDF" w:rsidP="00AA6D6C">
      <w:pPr>
        <w:spacing w:after="0" w:line="240" w:lineRule="auto"/>
      </w:pPr>
      <w:r>
        <w:separator/>
      </w:r>
    </w:p>
  </w:footnote>
  <w:footnote w:type="continuationSeparator" w:id="0">
    <w:p w:rsidR="006D6FDF" w:rsidRDefault="006D6FDF" w:rsidP="00AA6D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D5ECE"/>
    <w:multiLevelType w:val="multilevel"/>
    <w:tmpl w:val="79E25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8A3E0D"/>
    <w:multiLevelType w:val="hybridMultilevel"/>
    <w:tmpl w:val="E10C2AF4"/>
    <w:lvl w:ilvl="0" w:tplc="575CF68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2142B7"/>
    <w:multiLevelType w:val="multilevel"/>
    <w:tmpl w:val="53B6F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526FA4"/>
    <w:multiLevelType w:val="multilevel"/>
    <w:tmpl w:val="4F26D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8E7C00"/>
    <w:multiLevelType w:val="multilevel"/>
    <w:tmpl w:val="BB2046E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2F4393"/>
    <w:multiLevelType w:val="hybridMultilevel"/>
    <w:tmpl w:val="2534A578"/>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C735DC"/>
    <w:multiLevelType w:val="hybridMultilevel"/>
    <w:tmpl w:val="F5602230"/>
    <w:lvl w:ilvl="0" w:tplc="575CF68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6E1E19"/>
    <w:multiLevelType w:val="hybridMultilevel"/>
    <w:tmpl w:val="97D8B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F90E2A"/>
    <w:multiLevelType w:val="multilevel"/>
    <w:tmpl w:val="348C510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B501E69"/>
    <w:multiLevelType w:val="hybridMultilevel"/>
    <w:tmpl w:val="A79EC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8"/>
  </w:num>
  <w:num w:numId="4">
    <w:abstractNumId w:val="9"/>
  </w:num>
  <w:num w:numId="5">
    <w:abstractNumId w:val="1"/>
  </w:num>
  <w:num w:numId="6">
    <w:abstractNumId w:val="6"/>
  </w:num>
  <w:num w:numId="7">
    <w:abstractNumId w:val="5"/>
  </w:num>
  <w:num w:numId="8">
    <w:abstractNumId w:val="3"/>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5FC"/>
    <w:rsid w:val="00014121"/>
    <w:rsid w:val="00032F5F"/>
    <w:rsid w:val="00066052"/>
    <w:rsid w:val="00140C08"/>
    <w:rsid w:val="0015455D"/>
    <w:rsid w:val="00190657"/>
    <w:rsid w:val="001D6EC8"/>
    <w:rsid w:val="00451DCD"/>
    <w:rsid w:val="00456D87"/>
    <w:rsid w:val="004B704D"/>
    <w:rsid w:val="005475FC"/>
    <w:rsid w:val="006A425B"/>
    <w:rsid w:val="006D6FDF"/>
    <w:rsid w:val="006E49D1"/>
    <w:rsid w:val="007002D6"/>
    <w:rsid w:val="00793427"/>
    <w:rsid w:val="00865E9D"/>
    <w:rsid w:val="008B54E8"/>
    <w:rsid w:val="00916736"/>
    <w:rsid w:val="0097351E"/>
    <w:rsid w:val="009B1E75"/>
    <w:rsid w:val="009B5A52"/>
    <w:rsid w:val="00AA6D6C"/>
    <w:rsid w:val="00B10F9A"/>
    <w:rsid w:val="00BE1F11"/>
    <w:rsid w:val="00C2484A"/>
    <w:rsid w:val="00C430A0"/>
    <w:rsid w:val="00C828D9"/>
    <w:rsid w:val="00CB54BF"/>
    <w:rsid w:val="00D42B26"/>
    <w:rsid w:val="00D66180"/>
    <w:rsid w:val="00D77A8C"/>
    <w:rsid w:val="00F31B25"/>
    <w:rsid w:val="00F74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E6799D-9560-410D-90EA-783717C4D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DCD"/>
    <w:pPr>
      <w:ind w:left="720"/>
      <w:contextualSpacing/>
    </w:pPr>
  </w:style>
  <w:style w:type="table" w:styleId="TableGrid">
    <w:name w:val="Table Grid"/>
    <w:basedOn w:val="TableNormal"/>
    <w:uiPriority w:val="39"/>
    <w:rsid w:val="00D42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B54E8"/>
    <w:rPr>
      <w:b/>
      <w:bCs/>
    </w:rPr>
  </w:style>
  <w:style w:type="paragraph" w:styleId="Header">
    <w:name w:val="header"/>
    <w:basedOn w:val="Normal"/>
    <w:link w:val="HeaderChar"/>
    <w:uiPriority w:val="99"/>
    <w:unhideWhenUsed/>
    <w:rsid w:val="00AA6D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D6C"/>
  </w:style>
  <w:style w:type="paragraph" w:styleId="Footer">
    <w:name w:val="footer"/>
    <w:basedOn w:val="Normal"/>
    <w:link w:val="FooterChar"/>
    <w:uiPriority w:val="99"/>
    <w:unhideWhenUsed/>
    <w:rsid w:val="00AA6D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27341">
      <w:bodyDiv w:val="1"/>
      <w:marLeft w:val="0"/>
      <w:marRight w:val="0"/>
      <w:marTop w:val="0"/>
      <w:marBottom w:val="0"/>
      <w:divBdr>
        <w:top w:val="none" w:sz="0" w:space="0" w:color="auto"/>
        <w:left w:val="none" w:sz="0" w:space="0" w:color="auto"/>
        <w:bottom w:val="none" w:sz="0" w:space="0" w:color="auto"/>
        <w:right w:val="none" w:sz="0" w:space="0" w:color="auto"/>
      </w:divBdr>
      <w:divsChild>
        <w:div w:id="40329583">
          <w:marLeft w:val="0"/>
          <w:marRight w:val="0"/>
          <w:marTop w:val="0"/>
          <w:marBottom w:val="0"/>
          <w:divBdr>
            <w:top w:val="none" w:sz="0" w:space="0" w:color="auto"/>
            <w:left w:val="none" w:sz="0" w:space="0" w:color="auto"/>
            <w:bottom w:val="none" w:sz="0" w:space="0" w:color="auto"/>
            <w:right w:val="none" w:sz="0" w:space="0" w:color="auto"/>
          </w:divBdr>
          <w:divsChild>
            <w:div w:id="1702439365">
              <w:marLeft w:val="-225"/>
              <w:marRight w:val="-225"/>
              <w:marTop w:val="450"/>
              <w:marBottom w:val="0"/>
              <w:divBdr>
                <w:top w:val="none" w:sz="0" w:space="0" w:color="auto"/>
                <w:left w:val="none" w:sz="0" w:space="0" w:color="auto"/>
                <w:bottom w:val="none" w:sz="0" w:space="0" w:color="auto"/>
                <w:right w:val="none" w:sz="0" w:space="0" w:color="auto"/>
              </w:divBdr>
              <w:divsChild>
                <w:div w:id="539363401">
                  <w:marLeft w:val="0"/>
                  <w:marRight w:val="0"/>
                  <w:marTop w:val="0"/>
                  <w:marBottom w:val="0"/>
                  <w:divBdr>
                    <w:top w:val="none" w:sz="0" w:space="0" w:color="auto"/>
                    <w:left w:val="none" w:sz="0" w:space="0" w:color="auto"/>
                    <w:bottom w:val="none" w:sz="0" w:space="0" w:color="auto"/>
                    <w:right w:val="none" w:sz="0" w:space="0" w:color="auto"/>
                  </w:divBdr>
                  <w:divsChild>
                    <w:div w:id="1545866488">
                      <w:marLeft w:val="-225"/>
                      <w:marRight w:val="-225"/>
                      <w:marTop w:val="0"/>
                      <w:marBottom w:val="0"/>
                      <w:divBdr>
                        <w:top w:val="none" w:sz="0" w:space="0" w:color="auto"/>
                        <w:left w:val="none" w:sz="0" w:space="0" w:color="auto"/>
                        <w:bottom w:val="none" w:sz="0" w:space="0" w:color="auto"/>
                        <w:right w:val="none" w:sz="0" w:space="0" w:color="auto"/>
                      </w:divBdr>
                      <w:divsChild>
                        <w:div w:id="149043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890244">
      <w:bodyDiv w:val="1"/>
      <w:marLeft w:val="0"/>
      <w:marRight w:val="0"/>
      <w:marTop w:val="0"/>
      <w:marBottom w:val="0"/>
      <w:divBdr>
        <w:top w:val="none" w:sz="0" w:space="0" w:color="auto"/>
        <w:left w:val="none" w:sz="0" w:space="0" w:color="auto"/>
        <w:bottom w:val="none" w:sz="0" w:space="0" w:color="auto"/>
        <w:right w:val="none" w:sz="0" w:space="0" w:color="auto"/>
      </w:divBdr>
      <w:divsChild>
        <w:div w:id="1182937239">
          <w:marLeft w:val="0"/>
          <w:marRight w:val="0"/>
          <w:marTop w:val="0"/>
          <w:marBottom w:val="0"/>
          <w:divBdr>
            <w:top w:val="none" w:sz="0" w:space="0" w:color="auto"/>
            <w:left w:val="none" w:sz="0" w:space="0" w:color="auto"/>
            <w:bottom w:val="none" w:sz="0" w:space="0" w:color="auto"/>
            <w:right w:val="none" w:sz="0" w:space="0" w:color="auto"/>
          </w:divBdr>
          <w:divsChild>
            <w:div w:id="1075126239">
              <w:marLeft w:val="0"/>
              <w:marRight w:val="0"/>
              <w:marTop w:val="0"/>
              <w:marBottom w:val="0"/>
              <w:divBdr>
                <w:top w:val="none" w:sz="0" w:space="0" w:color="auto"/>
                <w:left w:val="none" w:sz="0" w:space="0" w:color="auto"/>
                <w:bottom w:val="none" w:sz="0" w:space="0" w:color="auto"/>
                <w:right w:val="none" w:sz="0" w:space="0" w:color="auto"/>
              </w:divBdr>
              <w:divsChild>
                <w:div w:id="511336923">
                  <w:marLeft w:val="0"/>
                  <w:marRight w:val="0"/>
                  <w:marTop w:val="0"/>
                  <w:marBottom w:val="0"/>
                  <w:divBdr>
                    <w:top w:val="none" w:sz="0" w:space="0" w:color="auto"/>
                    <w:left w:val="none" w:sz="0" w:space="0" w:color="auto"/>
                    <w:bottom w:val="none" w:sz="0" w:space="0" w:color="auto"/>
                    <w:right w:val="none" w:sz="0" w:space="0" w:color="auto"/>
                  </w:divBdr>
                  <w:divsChild>
                    <w:div w:id="319239426">
                      <w:marLeft w:val="0"/>
                      <w:marRight w:val="0"/>
                      <w:marTop w:val="0"/>
                      <w:marBottom w:val="0"/>
                      <w:divBdr>
                        <w:top w:val="none" w:sz="0" w:space="0" w:color="auto"/>
                        <w:left w:val="none" w:sz="0" w:space="0" w:color="auto"/>
                        <w:bottom w:val="none" w:sz="0" w:space="0" w:color="auto"/>
                        <w:right w:val="none" w:sz="0" w:space="0" w:color="auto"/>
                      </w:divBdr>
                      <w:divsChild>
                        <w:div w:id="1253004067">
                          <w:marLeft w:val="0"/>
                          <w:marRight w:val="0"/>
                          <w:marTop w:val="0"/>
                          <w:marBottom w:val="0"/>
                          <w:divBdr>
                            <w:top w:val="none" w:sz="0" w:space="0" w:color="auto"/>
                            <w:left w:val="none" w:sz="0" w:space="0" w:color="auto"/>
                            <w:bottom w:val="none" w:sz="0" w:space="0" w:color="auto"/>
                            <w:right w:val="none" w:sz="0" w:space="0" w:color="auto"/>
                          </w:divBdr>
                          <w:divsChild>
                            <w:div w:id="1146317336">
                              <w:marLeft w:val="0"/>
                              <w:marRight w:val="0"/>
                              <w:marTop w:val="0"/>
                              <w:marBottom w:val="0"/>
                              <w:divBdr>
                                <w:top w:val="none" w:sz="0" w:space="0" w:color="auto"/>
                                <w:left w:val="none" w:sz="0" w:space="0" w:color="auto"/>
                                <w:bottom w:val="none" w:sz="0" w:space="0" w:color="auto"/>
                                <w:right w:val="none" w:sz="0" w:space="0" w:color="auto"/>
                              </w:divBdr>
                              <w:divsChild>
                                <w:div w:id="59994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276255">
      <w:bodyDiv w:val="1"/>
      <w:marLeft w:val="0"/>
      <w:marRight w:val="0"/>
      <w:marTop w:val="0"/>
      <w:marBottom w:val="0"/>
      <w:divBdr>
        <w:top w:val="none" w:sz="0" w:space="0" w:color="auto"/>
        <w:left w:val="none" w:sz="0" w:space="0" w:color="auto"/>
        <w:bottom w:val="none" w:sz="0" w:space="0" w:color="auto"/>
        <w:right w:val="none" w:sz="0" w:space="0" w:color="auto"/>
      </w:divBdr>
      <w:divsChild>
        <w:div w:id="469055457">
          <w:marLeft w:val="0"/>
          <w:marRight w:val="0"/>
          <w:marTop w:val="0"/>
          <w:marBottom w:val="0"/>
          <w:divBdr>
            <w:top w:val="none" w:sz="0" w:space="0" w:color="auto"/>
            <w:left w:val="none" w:sz="0" w:space="0" w:color="auto"/>
            <w:bottom w:val="none" w:sz="0" w:space="0" w:color="auto"/>
            <w:right w:val="none" w:sz="0" w:space="0" w:color="auto"/>
          </w:divBdr>
          <w:divsChild>
            <w:div w:id="677468814">
              <w:marLeft w:val="0"/>
              <w:marRight w:val="0"/>
              <w:marTop w:val="0"/>
              <w:marBottom w:val="0"/>
              <w:divBdr>
                <w:top w:val="none" w:sz="0" w:space="0" w:color="auto"/>
                <w:left w:val="none" w:sz="0" w:space="0" w:color="auto"/>
                <w:bottom w:val="none" w:sz="0" w:space="0" w:color="auto"/>
                <w:right w:val="none" w:sz="0" w:space="0" w:color="auto"/>
              </w:divBdr>
              <w:divsChild>
                <w:div w:id="782463388">
                  <w:marLeft w:val="0"/>
                  <w:marRight w:val="0"/>
                  <w:marTop w:val="0"/>
                  <w:marBottom w:val="0"/>
                  <w:divBdr>
                    <w:top w:val="none" w:sz="0" w:space="0" w:color="auto"/>
                    <w:left w:val="none" w:sz="0" w:space="0" w:color="auto"/>
                    <w:bottom w:val="none" w:sz="0" w:space="0" w:color="auto"/>
                    <w:right w:val="none" w:sz="0" w:space="0" w:color="auto"/>
                  </w:divBdr>
                  <w:divsChild>
                    <w:div w:id="612397972">
                      <w:marLeft w:val="0"/>
                      <w:marRight w:val="0"/>
                      <w:marTop w:val="0"/>
                      <w:marBottom w:val="0"/>
                      <w:divBdr>
                        <w:top w:val="none" w:sz="0" w:space="0" w:color="auto"/>
                        <w:left w:val="none" w:sz="0" w:space="0" w:color="auto"/>
                        <w:bottom w:val="none" w:sz="0" w:space="0" w:color="auto"/>
                        <w:right w:val="none" w:sz="0" w:space="0" w:color="auto"/>
                      </w:divBdr>
                      <w:divsChild>
                        <w:div w:id="596717439">
                          <w:marLeft w:val="0"/>
                          <w:marRight w:val="0"/>
                          <w:marTop w:val="0"/>
                          <w:marBottom w:val="0"/>
                          <w:divBdr>
                            <w:top w:val="none" w:sz="0" w:space="0" w:color="auto"/>
                            <w:left w:val="none" w:sz="0" w:space="0" w:color="auto"/>
                            <w:bottom w:val="none" w:sz="0" w:space="0" w:color="auto"/>
                            <w:right w:val="none" w:sz="0" w:space="0" w:color="auto"/>
                          </w:divBdr>
                          <w:divsChild>
                            <w:div w:id="546449455">
                              <w:marLeft w:val="0"/>
                              <w:marRight w:val="0"/>
                              <w:marTop w:val="0"/>
                              <w:marBottom w:val="0"/>
                              <w:divBdr>
                                <w:top w:val="none" w:sz="0" w:space="0" w:color="auto"/>
                                <w:left w:val="none" w:sz="0" w:space="0" w:color="auto"/>
                                <w:bottom w:val="none" w:sz="0" w:space="0" w:color="auto"/>
                                <w:right w:val="none" w:sz="0" w:space="0" w:color="auto"/>
                              </w:divBdr>
                              <w:divsChild>
                                <w:div w:id="25227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154935">
      <w:bodyDiv w:val="1"/>
      <w:marLeft w:val="0"/>
      <w:marRight w:val="0"/>
      <w:marTop w:val="0"/>
      <w:marBottom w:val="0"/>
      <w:divBdr>
        <w:top w:val="none" w:sz="0" w:space="0" w:color="auto"/>
        <w:left w:val="none" w:sz="0" w:space="0" w:color="auto"/>
        <w:bottom w:val="none" w:sz="0" w:space="0" w:color="auto"/>
        <w:right w:val="none" w:sz="0" w:space="0" w:color="auto"/>
      </w:divBdr>
      <w:divsChild>
        <w:div w:id="67504310">
          <w:marLeft w:val="0"/>
          <w:marRight w:val="0"/>
          <w:marTop w:val="0"/>
          <w:marBottom w:val="0"/>
          <w:divBdr>
            <w:top w:val="none" w:sz="0" w:space="0" w:color="auto"/>
            <w:left w:val="none" w:sz="0" w:space="0" w:color="auto"/>
            <w:bottom w:val="none" w:sz="0" w:space="0" w:color="auto"/>
            <w:right w:val="none" w:sz="0" w:space="0" w:color="auto"/>
          </w:divBdr>
          <w:divsChild>
            <w:div w:id="685130393">
              <w:marLeft w:val="-225"/>
              <w:marRight w:val="-225"/>
              <w:marTop w:val="450"/>
              <w:marBottom w:val="0"/>
              <w:divBdr>
                <w:top w:val="none" w:sz="0" w:space="0" w:color="auto"/>
                <w:left w:val="none" w:sz="0" w:space="0" w:color="auto"/>
                <w:bottom w:val="none" w:sz="0" w:space="0" w:color="auto"/>
                <w:right w:val="none" w:sz="0" w:space="0" w:color="auto"/>
              </w:divBdr>
              <w:divsChild>
                <w:div w:id="1914852476">
                  <w:marLeft w:val="0"/>
                  <w:marRight w:val="0"/>
                  <w:marTop w:val="0"/>
                  <w:marBottom w:val="0"/>
                  <w:divBdr>
                    <w:top w:val="none" w:sz="0" w:space="0" w:color="auto"/>
                    <w:left w:val="none" w:sz="0" w:space="0" w:color="auto"/>
                    <w:bottom w:val="none" w:sz="0" w:space="0" w:color="auto"/>
                    <w:right w:val="none" w:sz="0" w:space="0" w:color="auto"/>
                  </w:divBdr>
                  <w:divsChild>
                    <w:div w:id="346250356">
                      <w:marLeft w:val="-225"/>
                      <w:marRight w:val="-225"/>
                      <w:marTop w:val="0"/>
                      <w:marBottom w:val="0"/>
                      <w:divBdr>
                        <w:top w:val="none" w:sz="0" w:space="0" w:color="auto"/>
                        <w:left w:val="none" w:sz="0" w:space="0" w:color="auto"/>
                        <w:bottom w:val="none" w:sz="0" w:space="0" w:color="auto"/>
                        <w:right w:val="none" w:sz="0" w:space="0" w:color="auto"/>
                      </w:divBdr>
                      <w:divsChild>
                        <w:div w:id="147929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877228">
      <w:bodyDiv w:val="1"/>
      <w:marLeft w:val="0"/>
      <w:marRight w:val="0"/>
      <w:marTop w:val="0"/>
      <w:marBottom w:val="0"/>
      <w:divBdr>
        <w:top w:val="none" w:sz="0" w:space="0" w:color="auto"/>
        <w:left w:val="none" w:sz="0" w:space="0" w:color="auto"/>
        <w:bottom w:val="none" w:sz="0" w:space="0" w:color="auto"/>
        <w:right w:val="none" w:sz="0" w:space="0" w:color="auto"/>
      </w:divBdr>
      <w:divsChild>
        <w:div w:id="2123572035">
          <w:marLeft w:val="0"/>
          <w:marRight w:val="0"/>
          <w:marTop w:val="0"/>
          <w:marBottom w:val="0"/>
          <w:divBdr>
            <w:top w:val="none" w:sz="0" w:space="0" w:color="auto"/>
            <w:left w:val="none" w:sz="0" w:space="0" w:color="auto"/>
            <w:bottom w:val="none" w:sz="0" w:space="0" w:color="auto"/>
            <w:right w:val="none" w:sz="0" w:space="0" w:color="auto"/>
          </w:divBdr>
          <w:divsChild>
            <w:div w:id="577982042">
              <w:marLeft w:val="-225"/>
              <w:marRight w:val="-225"/>
              <w:marTop w:val="450"/>
              <w:marBottom w:val="0"/>
              <w:divBdr>
                <w:top w:val="none" w:sz="0" w:space="0" w:color="auto"/>
                <w:left w:val="none" w:sz="0" w:space="0" w:color="auto"/>
                <w:bottom w:val="none" w:sz="0" w:space="0" w:color="auto"/>
                <w:right w:val="none" w:sz="0" w:space="0" w:color="auto"/>
              </w:divBdr>
              <w:divsChild>
                <w:div w:id="1404257069">
                  <w:marLeft w:val="0"/>
                  <w:marRight w:val="0"/>
                  <w:marTop w:val="0"/>
                  <w:marBottom w:val="0"/>
                  <w:divBdr>
                    <w:top w:val="none" w:sz="0" w:space="0" w:color="auto"/>
                    <w:left w:val="none" w:sz="0" w:space="0" w:color="auto"/>
                    <w:bottom w:val="none" w:sz="0" w:space="0" w:color="auto"/>
                    <w:right w:val="none" w:sz="0" w:space="0" w:color="auto"/>
                  </w:divBdr>
                  <w:divsChild>
                    <w:div w:id="622879696">
                      <w:marLeft w:val="-225"/>
                      <w:marRight w:val="-225"/>
                      <w:marTop w:val="0"/>
                      <w:marBottom w:val="0"/>
                      <w:divBdr>
                        <w:top w:val="none" w:sz="0" w:space="0" w:color="auto"/>
                        <w:left w:val="none" w:sz="0" w:space="0" w:color="auto"/>
                        <w:bottom w:val="none" w:sz="0" w:space="0" w:color="auto"/>
                        <w:right w:val="none" w:sz="0" w:space="0" w:color="auto"/>
                      </w:divBdr>
                      <w:divsChild>
                        <w:div w:id="108333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3097</Words>
  <Characters>22553</Characters>
  <Application>Microsoft Office Word</Application>
  <DocSecurity>0</DocSecurity>
  <Lines>2050</Lines>
  <Paragraphs>854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Terry</dc:creator>
  <cp:keywords/>
  <dc:description/>
  <cp:lastModifiedBy>Ellen Ann Ferguson</cp:lastModifiedBy>
  <cp:revision>2</cp:revision>
  <cp:lastPrinted>2018-05-09T19:11:00Z</cp:lastPrinted>
  <dcterms:created xsi:type="dcterms:W3CDTF">2018-05-09T19:11:00Z</dcterms:created>
  <dcterms:modified xsi:type="dcterms:W3CDTF">2018-05-09T19:11:00Z</dcterms:modified>
</cp:coreProperties>
</file>