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4D4D" w14:textId="7DCBFFD0" w:rsidR="00620D86" w:rsidRDefault="00620D86" w:rsidP="00024475">
      <w:pPr>
        <w:ind w:left="-360" w:firstLine="86"/>
        <w:contextualSpacing/>
        <w:rPr>
          <w:color w:val="005C8D"/>
          <w:sz w:val="28"/>
        </w:rPr>
      </w:pPr>
      <w:r>
        <w:rPr>
          <w:color w:val="005C8D"/>
          <w:sz w:val="28"/>
        </w:rPr>
        <w:t>Q&amp;A #1</w:t>
      </w:r>
    </w:p>
    <w:p w14:paraId="4C524AA4" w14:textId="6B0405E0" w:rsidR="009C6858" w:rsidRDefault="009C6858" w:rsidP="00024475">
      <w:pPr>
        <w:ind w:left="-360" w:firstLine="86"/>
        <w:contextualSpacing/>
        <w:rPr>
          <w:color w:val="005C8D"/>
          <w:sz w:val="28"/>
        </w:rPr>
      </w:pPr>
      <w:r w:rsidRPr="009C6858">
        <w:rPr>
          <w:color w:val="005C8D"/>
          <w:sz w:val="28"/>
        </w:rPr>
        <w:t>University of Arkansas</w:t>
      </w:r>
    </w:p>
    <w:p w14:paraId="0C0646BB" w14:textId="77777777" w:rsidR="00024475" w:rsidRPr="00024475" w:rsidRDefault="00024475" w:rsidP="00024475">
      <w:pPr>
        <w:pBdr>
          <w:bottom w:val="single" w:sz="4" w:space="1" w:color="005C8D"/>
        </w:pBdr>
        <w:ind w:left="-360" w:firstLine="86"/>
        <w:contextualSpacing/>
        <w:rPr>
          <w:color w:val="7C7C7C"/>
          <w:sz w:val="28"/>
        </w:rPr>
      </w:pPr>
      <w:r w:rsidRPr="00024475">
        <w:rPr>
          <w:color w:val="7C7C7C"/>
          <w:sz w:val="28"/>
        </w:rPr>
        <w:t>RFP #102720 – Benefits Consulting Services</w:t>
      </w:r>
    </w:p>
    <w:p w14:paraId="67D41C8B" w14:textId="77777777" w:rsidR="00024475" w:rsidRDefault="00024475" w:rsidP="00024475">
      <w:pPr>
        <w:ind w:left="-360" w:firstLine="86"/>
        <w:contextualSpacing/>
        <w:rPr>
          <w:color w:val="005C8D"/>
          <w:sz w:val="28"/>
        </w:rPr>
      </w:pPr>
    </w:p>
    <w:tbl>
      <w:tblPr>
        <w:tblStyle w:val="TableGrid"/>
        <w:tblW w:w="9572" w:type="dxa"/>
        <w:tblInd w:w="-275" w:type="dxa"/>
        <w:tblLook w:val="04A0" w:firstRow="1" w:lastRow="0" w:firstColumn="1" w:lastColumn="0" w:noHBand="0" w:noVBand="1"/>
      </w:tblPr>
      <w:tblGrid>
        <w:gridCol w:w="500"/>
        <w:gridCol w:w="9072"/>
      </w:tblGrid>
      <w:tr w:rsidR="00E641DC" w14:paraId="256D9B40" w14:textId="77777777" w:rsidTr="005940DF">
        <w:tc>
          <w:tcPr>
            <w:tcW w:w="500" w:type="dxa"/>
            <w:shd w:val="clear" w:color="auto" w:fill="005C8D"/>
          </w:tcPr>
          <w:p w14:paraId="4F57EB91" w14:textId="77777777" w:rsidR="00E641DC" w:rsidRPr="009C6858" w:rsidRDefault="00E641DC">
            <w:pPr>
              <w:rPr>
                <w:color w:val="FFFFFF" w:themeColor="background1"/>
                <w:sz w:val="28"/>
              </w:rPr>
            </w:pPr>
            <w:r w:rsidRPr="009C6858">
              <w:rPr>
                <w:color w:val="FFFFFF" w:themeColor="background1"/>
                <w:sz w:val="28"/>
              </w:rPr>
              <w:t>#</w:t>
            </w:r>
          </w:p>
        </w:tc>
        <w:tc>
          <w:tcPr>
            <w:tcW w:w="9072" w:type="dxa"/>
            <w:shd w:val="clear" w:color="auto" w:fill="005C8D"/>
          </w:tcPr>
          <w:p w14:paraId="7AF5092A" w14:textId="77777777" w:rsidR="00E641DC" w:rsidRPr="009C6858" w:rsidRDefault="00E641DC">
            <w:pPr>
              <w:rPr>
                <w:color w:val="FFFFFF" w:themeColor="background1"/>
                <w:sz w:val="28"/>
              </w:rPr>
            </w:pPr>
            <w:r w:rsidRPr="009C6858">
              <w:rPr>
                <w:color w:val="FFFFFF" w:themeColor="background1"/>
                <w:sz w:val="28"/>
              </w:rPr>
              <w:t>Question</w:t>
            </w:r>
          </w:p>
        </w:tc>
      </w:tr>
      <w:tr w:rsidR="00E641DC" w:rsidRPr="009C6858" w14:paraId="0CA2C526" w14:textId="77777777" w:rsidTr="005940DF">
        <w:trPr>
          <w:trHeight w:val="864"/>
        </w:trPr>
        <w:tc>
          <w:tcPr>
            <w:tcW w:w="500" w:type="dxa"/>
          </w:tcPr>
          <w:p w14:paraId="78E9BDFD" w14:textId="77777777" w:rsidR="00E641DC" w:rsidRPr="009C6858" w:rsidRDefault="00E641DC">
            <w:r>
              <w:t>1</w:t>
            </w:r>
          </w:p>
        </w:tc>
        <w:tc>
          <w:tcPr>
            <w:tcW w:w="9072" w:type="dxa"/>
          </w:tcPr>
          <w:p w14:paraId="517305BD" w14:textId="77777777" w:rsidR="000E1B7B" w:rsidRDefault="00E641DC" w:rsidP="0049472B">
            <w:r>
              <w:t>Are th</w:t>
            </w:r>
            <w:r w:rsidR="00234F95">
              <w:t xml:space="preserve">ere any performance standards or </w:t>
            </w:r>
            <w:r>
              <w:t>monetary penalties associated with the current consulting firm’s performance?</w:t>
            </w:r>
            <w:r w:rsidR="002A702D">
              <w:t xml:space="preserve">   </w:t>
            </w:r>
          </w:p>
          <w:p w14:paraId="3A2A87A6" w14:textId="34585572" w:rsidR="00E641DC" w:rsidRPr="009C6858" w:rsidRDefault="000E1B7B" w:rsidP="0049472B">
            <w:r w:rsidRPr="000E1B7B">
              <w:rPr>
                <w:b/>
                <w:bCs/>
                <w:u w:val="single"/>
              </w:rPr>
              <w:t>ANSWER:</w:t>
            </w:r>
            <w:r w:rsidRPr="000E1B7B">
              <w:t xml:space="preserve">  </w:t>
            </w:r>
            <w:r w:rsidR="002A702D" w:rsidRPr="000E1B7B">
              <w:t>Performance standards are required</w:t>
            </w:r>
            <w:r>
              <w:t>,</w:t>
            </w:r>
            <w:r w:rsidR="001B13BA" w:rsidRPr="000E1B7B">
              <w:t xml:space="preserve"> and the University does evaluate the performance of all vendors</w:t>
            </w:r>
            <w:r w:rsidR="002A702D" w:rsidRPr="000E1B7B">
              <w:t xml:space="preserve">.  </w:t>
            </w:r>
          </w:p>
        </w:tc>
      </w:tr>
      <w:tr w:rsidR="00E641DC" w:rsidRPr="009C6858" w14:paraId="78DEFD52" w14:textId="77777777" w:rsidTr="005940DF">
        <w:trPr>
          <w:trHeight w:val="864"/>
        </w:trPr>
        <w:tc>
          <w:tcPr>
            <w:tcW w:w="500" w:type="dxa"/>
            <w:shd w:val="clear" w:color="auto" w:fill="F2F2F2" w:themeFill="background1" w:themeFillShade="F2"/>
          </w:tcPr>
          <w:p w14:paraId="5B71EE1D" w14:textId="77777777" w:rsidR="00E641DC" w:rsidRPr="009C6858" w:rsidRDefault="00E641DC">
            <w:r>
              <w:t>2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A650DE3" w14:textId="77777777" w:rsidR="00E641DC" w:rsidRDefault="00E641DC" w:rsidP="00234F95">
            <w:pPr>
              <w:spacing w:line="254" w:lineRule="auto"/>
            </w:pPr>
            <w:r>
              <w:t>Do any of the current insurance products include commission? If so, please provide the total commissions paid over the past 24 months.</w:t>
            </w:r>
          </w:p>
          <w:p w14:paraId="3CC8A7ED" w14:textId="7CC8932F" w:rsidR="00043FB3" w:rsidRDefault="000E1B7B" w:rsidP="00234F95">
            <w:pPr>
              <w:spacing w:line="254" w:lineRule="auto"/>
            </w:pPr>
            <w:r w:rsidRPr="000E1B7B">
              <w:rPr>
                <w:b/>
                <w:bCs/>
                <w:u w:val="single"/>
              </w:rPr>
              <w:t>ANSWER:</w:t>
            </w:r>
            <w:r w:rsidRPr="000E1B7B">
              <w:t xml:space="preserve">  </w:t>
            </w:r>
            <w:r w:rsidR="00043FB3" w:rsidRPr="000E1B7B">
              <w:t>Insured products do produce commissions.  Commissions vary by product, enrollment, new products introduced, etc.  Current and past commissions are not indicative of future commission opportunities.</w:t>
            </w:r>
          </w:p>
        </w:tc>
      </w:tr>
      <w:tr w:rsidR="00E641DC" w:rsidRPr="009C6858" w14:paraId="102238BC" w14:textId="77777777" w:rsidTr="005940DF">
        <w:trPr>
          <w:trHeight w:val="864"/>
        </w:trPr>
        <w:tc>
          <w:tcPr>
            <w:tcW w:w="500" w:type="dxa"/>
          </w:tcPr>
          <w:p w14:paraId="1DA924E8" w14:textId="77777777" w:rsidR="00E641DC" w:rsidRPr="009C6858" w:rsidRDefault="00E641DC">
            <w:r>
              <w:t>3</w:t>
            </w:r>
          </w:p>
        </w:tc>
        <w:tc>
          <w:tcPr>
            <w:tcW w:w="9072" w:type="dxa"/>
          </w:tcPr>
          <w:p w14:paraId="6BE42E6D" w14:textId="77777777" w:rsidR="00E641DC" w:rsidRDefault="00E641DC" w:rsidP="0049472B">
            <w:pPr>
              <w:spacing w:line="254" w:lineRule="auto"/>
            </w:pPr>
            <w:r>
              <w:t xml:space="preserve">What amount in fee payments has the University made to the existing consulting firm for the defined scope of work over the past 24 months? </w:t>
            </w:r>
          </w:p>
          <w:p w14:paraId="7CF9A454" w14:textId="44D4980F" w:rsidR="00043FB3" w:rsidRPr="0049472B" w:rsidRDefault="000E1B7B" w:rsidP="0049472B">
            <w:pPr>
              <w:spacing w:line="254" w:lineRule="auto"/>
              <w:rPr>
                <w:rFonts w:ascii="Calibri" w:hAnsi="Calibri" w:cs="Calibri"/>
              </w:rPr>
            </w:pPr>
            <w:r w:rsidRPr="000E1B7B">
              <w:rPr>
                <w:rFonts w:ascii="Calibri" w:hAnsi="Calibri" w:cs="Calibri"/>
                <w:b/>
                <w:bCs/>
                <w:u w:val="single"/>
              </w:rPr>
              <w:t>ANSWER:</w:t>
            </w:r>
            <w:r w:rsidRPr="000E1B7B">
              <w:rPr>
                <w:rFonts w:ascii="Calibri" w:hAnsi="Calibri" w:cs="Calibri"/>
              </w:rPr>
              <w:t xml:space="preserve">  </w:t>
            </w:r>
            <w:r w:rsidR="00043FB3" w:rsidRPr="000E1B7B">
              <w:rPr>
                <w:rFonts w:ascii="Calibri" w:hAnsi="Calibri" w:cs="Calibri"/>
              </w:rPr>
              <w:t>Fee payments vary based upon projects undertaken within the period.</w:t>
            </w:r>
          </w:p>
        </w:tc>
      </w:tr>
      <w:tr w:rsidR="00E641DC" w:rsidRPr="009C6858" w14:paraId="732B3AE4" w14:textId="77777777" w:rsidTr="00043FB3">
        <w:trPr>
          <w:trHeight w:val="864"/>
        </w:trPr>
        <w:tc>
          <w:tcPr>
            <w:tcW w:w="500" w:type="dxa"/>
            <w:shd w:val="clear" w:color="auto" w:fill="F2F2F2" w:themeFill="background1" w:themeFillShade="F2"/>
          </w:tcPr>
          <w:p w14:paraId="0BE72E7C" w14:textId="77777777" w:rsidR="00E641DC" w:rsidRPr="009C6858" w:rsidRDefault="007050EB">
            <w:r>
              <w:t>4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D8334E" w14:textId="77777777" w:rsidR="000E1B7B" w:rsidRDefault="00E641DC">
            <w:r>
              <w:t xml:space="preserve">Please provide the annual number of onsite meetings expected or regularly occurring under this agreement, including HR/subcommittees, benefits orientation, strategy sessions, staff senate briefings, </w:t>
            </w:r>
            <w:r w:rsidR="005940DF">
              <w:t>or others.</w:t>
            </w:r>
            <w:r>
              <w:t xml:space="preserve"> Does the University have a preferred onsite meeting schedule for consultative reviews (monthly, quarterly, etc.)?</w:t>
            </w:r>
            <w:r w:rsidR="008233FF">
              <w:t xml:space="preserve">   </w:t>
            </w:r>
          </w:p>
          <w:p w14:paraId="3EEF08A3" w14:textId="1D25E8C7" w:rsidR="00E641DC" w:rsidRPr="009C6858" w:rsidRDefault="000E1B7B">
            <w:r w:rsidRPr="000E1B7B">
              <w:rPr>
                <w:b/>
                <w:bCs/>
                <w:u w:val="single"/>
              </w:rPr>
              <w:t>ANSWER:</w:t>
            </w:r>
            <w:r w:rsidRPr="000E1B7B">
              <w:t xml:space="preserve">  </w:t>
            </w:r>
            <w:r w:rsidR="008233FF" w:rsidRPr="000E1B7B">
              <w:t>Onsite meeting opportunities are unknowable in the current environment.  Historically, two System-wide (all campuses participating) meetings are provided each year.  Meetings with the System Office staff will be required as requested, with most provided through remote access</w:t>
            </w:r>
            <w:r w:rsidR="001B13BA" w:rsidRPr="000E1B7B">
              <w:t xml:space="preserve"> and will occur not less than quarterly.  Weekly, and often daily interaction with System Office staff through email on a range of compliance, plan design, cost impact and communications issues </w:t>
            </w:r>
            <w:r w:rsidR="00D84E95" w:rsidRPr="000E1B7B">
              <w:t>must be supported in a timely manner</w:t>
            </w:r>
            <w:r w:rsidR="001B13BA" w:rsidRPr="000E1B7B">
              <w:t>.</w:t>
            </w:r>
          </w:p>
        </w:tc>
      </w:tr>
      <w:tr w:rsidR="00E641DC" w:rsidRPr="009C6858" w14:paraId="4C6B96E9" w14:textId="77777777" w:rsidTr="00043FB3">
        <w:trPr>
          <w:trHeight w:val="864"/>
        </w:trPr>
        <w:tc>
          <w:tcPr>
            <w:tcW w:w="500" w:type="dxa"/>
            <w:shd w:val="clear" w:color="auto" w:fill="auto"/>
          </w:tcPr>
          <w:p w14:paraId="5C7F2953" w14:textId="77777777" w:rsidR="00E641DC" w:rsidRPr="009C6858" w:rsidRDefault="007050EB">
            <w:r>
              <w:t>5</w:t>
            </w:r>
          </w:p>
        </w:tc>
        <w:tc>
          <w:tcPr>
            <w:tcW w:w="9072" w:type="dxa"/>
            <w:tcBorders>
              <w:bottom w:val="nil"/>
            </w:tcBorders>
            <w:shd w:val="clear" w:color="auto" w:fill="auto"/>
          </w:tcPr>
          <w:p w14:paraId="7F771956" w14:textId="77777777" w:rsidR="00E641DC" w:rsidRPr="000E1B7B" w:rsidRDefault="00E641DC" w:rsidP="00E641DC">
            <w:r w:rsidRPr="000E1B7B">
              <w:t xml:space="preserve">For carve-out health or other outsourced programs (such as bariatric surgery, infertility treatment, leave management) does the University have a minimum ROI threshold? </w:t>
            </w:r>
          </w:p>
          <w:p w14:paraId="15612F98" w14:textId="591A8E54" w:rsidR="00043FB3" w:rsidRPr="000E1B7B" w:rsidRDefault="000E1B7B" w:rsidP="00E641DC">
            <w:r w:rsidRPr="000E1B7B">
              <w:rPr>
                <w:b/>
                <w:bCs/>
                <w:u w:val="single"/>
              </w:rPr>
              <w:t>ANSWER:</w:t>
            </w:r>
            <w:r w:rsidRPr="000E1B7B">
              <w:t xml:space="preserve">  </w:t>
            </w:r>
            <w:r w:rsidR="00043FB3" w:rsidRPr="000E1B7B">
              <w:t xml:space="preserve">Services are not </w:t>
            </w:r>
            <w:proofErr w:type="gramStart"/>
            <w:r w:rsidR="00043FB3" w:rsidRPr="000E1B7B">
              <w:t>carved-out</w:t>
            </w:r>
            <w:proofErr w:type="gramEnd"/>
            <w:r w:rsidR="00043FB3" w:rsidRPr="000E1B7B">
              <w:t>.  Health services are provided with</w:t>
            </w:r>
            <w:r w:rsidR="001B13BA" w:rsidRPr="000E1B7B">
              <w:t>in</w:t>
            </w:r>
            <w:r w:rsidR="00043FB3" w:rsidRPr="000E1B7B">
              <w:t xml:space="preserve"> the Plan through INN providers.  System policies dictate leave programs with leave administered at the campus level.</w:t>
            </w:r>
          </w:p>
        </w:tc>
      </w:tr>
      <w:tr w:rsidR="00E641DC" w:rsidRPr="009C6858" w14:paraId="125A9905" w14:textId="77777777" w:rsidTr="00043FB3">
        <w:trPr>
          <w:trHeight w:val="864"/>
        </w:trPr>
        <w:tc>
          <w:tcPr>
            <w:tcW w:w="500" w:type="dxa"/>
            <w:shd w:val="clear" w:color="auto" w:fill="F2F2F2" w:themeFill="background1" w:themeFillShade="F2"/>
          </w:tcPr>
          <w:p w14:paraId="5689476E" w14:textId="77777777" w:rsidR="00E641DC" w:rsidRPr="009C6858" w:rsidRDefault="007050EB">
            <w:r>
              <w:t>6</w:t>
            </w:r>
          </w:p>
        </w:tc>
        <w:tc>
          <w:tcPr>
            <w:tcW w:w="9072" w:type="dxa"/>
            <w:tcBorders>
              <w:top w:val="nil"/>
            </w:tcBorders>
            <w:shd w:val="clear" w:color="auto" w:fill="F2F2F2" w:themeFill="background1" w:themeFillShade="F2"/>
          </w:tcPr>
          <w:p w14:paraId="339B2A7E" w14:textId="0F4686D6" w:rsidR="00E641DC" w:rsidRDefault="00E641DC" w:rsidP="00E641DC">
            <w:r>
              <w:t xml:space="preserve">What is the review process for obtaining comments and final </w:t>
            </w:r>
            <w:r w:rsidR="00943301">
              <w:t xml:space="preserve">internal </w:t>
            </w:r>
            <w:r>
              <w:t>approval of communication materials such as those for enrollment or other regularly scheduled campaigns?</w:t>
            </w:r>
          </w:p>
          <w:p w14:paraId="1FAF81D5" w14:textId="0784A8C0" w:rsidR="00043FB3" w:rsidRDefault="000E1B7B" w:rsidP="00E641DC">
            <w:r w:rsidRPr="000E1B7B">
              <w:rPr>
                <w:b/>
                <w:bCs/>
                <w:u w:val="single"/>
              </w:rPr>
              <w:t>ANSWER:</w:t>
            </w:r>
            <w:r>
              <w:t xml:space="preserve">  </w:t>
            </w:r>
            <w:r w:rsidR="00043FB3" w:rsidRPr="000E1B7B">
              <w:t>The University System Office provides draft or supporting documentation.  Communication materials proposed are reviewed through the System Office, with feedback from campuses, and approved by the System Office</w:t>
            </w:r>
            <w:r w:rsidR="00043FB3">
              <w:t>.</w:t>
            </w:r>
          </w:p>
          <w:p w14:paraId="6B86182E" w14:textId="7D189864" w:rsidR="00043FB3" w:rsidRDefault="00043FB3" w:rsidP="00E641DC"/>
        </w:tc>
      </w:tr>
      <w:tr w:rsidR="00E641DC" w:rsidRPr="009C6858" w14:paraId="28F7E307" w14:textId="77777777" w:rsidTr="005940DF">
        <w:trPr>
          <w:trHeight w:val="1008"/>
        </w:trPr>
        <w:tc>
          <w:tcPr>
            <w:tcW w:w="500" w:type="dxa"/>
            <w:shd w:val="clear" w:color="auto" w:fill="auto"/>
          </w:tcPr>
          <w:p w14:paraId="38AD157B" w14:textId="77777777" w:rsidR="00E641DC" w:rsidRPr="009C6858" w:rsidRDefault="007050EB">
            <w:r>
              <w:t>7</w:t>
            </w:r>
          </w:p>
        </w:tc>
        <w:tc>
          <w:tcPr>
            <w:tcW w:w="9072" w:type="dxa"/>
            <w:shd w:val="clear" w:color="auto" w:fill="auto"/>
          </w:tcPr>
          <w:p w14:paraId="631DE028" w14:textId="77777777" w:rsidR="00E641DC" w:rsidRPr="000E1B7B" w:rsidRDefault="00E641DC" w:rsidP="00E641DC">
            <w:r w:rsidRPr="000E1B7B">
              <w:t xml:space="preserve">We note a variety of current communication items listed on UA system website. Please speak to the responsibilities that the chosen consultant will have as it pertains to the following </w:t>
            </w:r>
            <w:r w:rsidR="00C21775" w:rsidRPr="000E1B7B">
              <w:t>items</w:t>
            </w:r>
            <w:r w:rsidRPr="000E1B7B">
              <w:t xml:space="preserve"> (i.e. </w:t>
            </w:r>
            <w:r w:rsidR="00943301" w:rsidRPr="000E1B7B">
              <w:t xml:space="preserve">design, </w:t>
            </w:r>
            <w:r w:rsidRPr="000E1B7B">
              <w:t xml:space="preserve">build, maintain, </w:t>
            </w:r>
            <w:r w:rsidR="00943301" w:rsidRPr="000E1B7B">
              <w:t xml:space="preserve">and/or </w:t>
            </w:r>
            <w:r w:rsidRPr="000E1B7B">
              <w:t>review):</w:t>
            </w:r>
          </w:p>
          <w:p w14:paraId="0C2D3B85" w14:textId="77777777" w:rsidR="00E641DC" w:rsidRPr="000E1B7B" w:rsidRDefault="00E641DC" w:rsidP="00E641DC">
            <w:pPr>
              <w:ind w:left="720"/>
            </w:pPr>
            <w:r w:rsidRPr="000E1B7B">
              <w:t>1) New employee benefit guide</w:t>
            </w:r>
          </w:p>
          <w:p w14:paraId="3E5120C1" w14:textId="77777777" w:rsidR="00E641DC" w:rsidRPr="000E1B7B" w:rsidRDefault="00E641DC" w:rsidP="00E641DC">
            <w:pPr>
              <w:ind w:left="720"/>
            </w:pPr>
            <w:r w:rsidRPr="000E1B7B">
              <w:t>2) Benefits decision guide document</w:t>
            </w:r>
          </w:p>
          <w:p w14:paraId="496251DF" w14:textId="77777777" w:rsidR="00E641DC" w:rsidRPr="000E1B7B" w:rsidRDefault="00E641DC" w:rsidP="00E641DC">
            <w:pPr>
              <w:ind w:left="720"/>
            </w:pPr>
            <w:r w:rsidRPr="000E1B7B">
              <w:t>3) Benefits Bulletin</w:t>
            </w:r>
          </w:p>
          <w:p w14:paraId="5BEBB5F8" w14:textId="77777777" w:rsidR="00E641DC" w:rsidRPr="000E1B7B" w:rsidRDefault="00E641DC" w:rsidP="00E641DC">
            <w:pPr>
              <w:ind w:left="720"/>
            </w:pPr>
            <w:r w:rsidRPr="000E1B7B">
              <w:t xml:space="preserve">4) Benefits website at https://benefits.uasys.edu/ </w:t>
            </w:r>
          </w:p>
          <w:p w14:paraId="17E33945" w14:textId="77777777" w:rsidR="00E641DC" w:rsidRPr="000E1B7B" w:rsidRDefault="00E641DC" w:rsidP="00E641DC">
            <w:pPr>
              <w:ind w:left="720"/>
            </w:pPr>
            <w:r w:rsidRPr="000E1B7B">
              <w:t xml:space="preserve">5) Virtual benefits </w:t>
            </w:r>
            <w:r w:rsidR="00C21775" w:rsidRPr="000E1B7B">
              <w:t xml:space="preserve">fair </w:t>
            </w:r>
            <w:r w:rsidRPr="000E1B7B">
              <w:t xml:space="preserve">microsite </w:t>
            </w:r>
          </w:p>
          <w:p w14:paraId="68873D02" w14:textId="77777777" w:rsidR="00043FB3" w:rsidRPr="000E1B7B" w:rsidRDefault="00043FB3" w:rsidP="00E641DC">
            <w:pPr>
              <w:ind w:left="720"/>
            </w:pPr>
          </w:p>
          <w:p w14:paraId="7CB0E2C0" w14:textId="46183BD1" w:rsidR="00043FB3" w:rsidRPr="000E1B7B" w:rsidRDefault="000E1B7B" w:rsidP="00043FB3">
            <w:r w:rsidRPr="000E1B7B">
              <w:rPr>
                <w:b/>
                <w:bCs/>
                <w:u w:val="single"/>
              </w:rPr>
              <w:t>ANSWER:</w:t>
            </w:r>
            <w:r>
              <w:t xml:space="preserve">  </w:t>
            </w:r>
            <w:r w:rsidR="00043FB3" w:rsidRPr="000E1B7B">
              <w:t xml:space="preserve">All items identified were developed by the current vendor with </w:t>
            </w:r>
            <w:r w:rsidR="001B13BA" w:rsidRPr="000E1B7B">
              <w:t xml:space="preserve">drafts, </w:t>
            </w:r>
            <w:r w:rsidR="00043FB3" w:rsidRPr="000E1B7B">
              <w:t xml:space="preserve">input, editing and final approval through the System Office.  The current vendor </w:t>
            </w:r>
            <w:r w:rsidR="001B13BA" w:rsidRPr="000E1B7B">
              <w:t>coordinates</w:t>
            </w:r>
            <w:r w:rsidR="008233FF" w:rsidRPr="000E1B7B">
              <w:t xml:space="preserve"> updates and </w:t>
            </w:r>
            <w:r w:rsidR="001B13BA" w:rsidRPr="000E1B7B">
              <w:t xml:space="preserve">provides </w:t>
            </w:r>
            <w:r w:rsidR="008233FF" w:rsidRPr="000E1B7B">
              <w:t>all maintenance for the benefits website.</w:t>
            </w:r>
          </w:p>
        </w:tc>
      </w:tr>
      <w:tr w:rsidR="00E641DC" w:rsidRPr="009C6858" w14:paraId="575013AE" w14:textId="77777777" w:rsidTr="005940DF">
        <w:trPr>
          <w:trHeight w:val="864"/>
        </w:trPr>
        <w:tc>
          <w:tcPr>
            <w:tcW w:w="500" w:type="dxa"/>
            <w:shd w:val="clear" w:color="auto" w:fill="F2F2F2" w:themeFill="background1" w:themeFillShade="F2"/>
          </w:tcPr>
          <w:p w14:paraId="48CD4003" w14:textId="77777777" w:rsidR="00E641DC" w:rsidRPr="009C6858" w:rsidRDefault="007050EB">
            <w:r>
              <w:lastRenderedPageBreak/>
              <w:t>8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78C2F32B" w14:textId="77777777" w:rsidR="000E1B7B" w:rsidRDefault="00E641DC" w:rsidP="00397D6E">
            <w:r w:rsidRPr="004715FD">
              <w:t xml:space="preserve">What is the extent of financial reporting UA is responsible </w:t>
            </w:r>
            <w:r>
              <w:t xml:space="preserve">to provide for retiree health </w:t>
            </w:r>
            <w:r w:rsidR="00397D6E">
              <w:t>and</w:t>
            </w:r>
            <w:r>
              <w:t xml:space="preserve"> welfare benefits? Who </w:t>
            </w:r>
            <w:r w:rsidR="00C21775">
              <w:t>conducts valuation assessments and manages this retiree reporting today</w:t>
            </w:r>
            <w:r w:rsidR="00C21775" w:rsidRPr="000E1B7B">
              <w:t>?</w:t>
            </w:r>
            <w:r w:rsidR="008233FF" w:rsidRPr="000E1B7B">
              <w:t xml:space="preserve"> </w:t>
            </w:r>
          </w:p>
          <w:p w14:paraId="051D7CF9" w14:textId="3F27C33F" w:rsidR="00E641DC" w:rsidRDefault="000E1B7B" w:rsidP="00397D6E">
            <w:r w:rsidRPr="000E1B7B">
              <w:rPr>
                <w:b/>
                <w:bCs/>
                <w:u w:val="single"/>
              </w:rPr>
              <w:t>ANSWER:</w:t>
            </w:r>
            <w:r>
              <w:t xml:space="preserve">  </w:t>
            </w:r>
            <w:r w:rsidR="008233FF" w:rsidRPr="000E1B7B">
              <w:t>A separate actuarial services vendor provides the required GASB reporting for retiree benefits.  Those services are not part of this RFP.</w:t>
            </w:r>
          </w:p>
        </w:tc>
      </w:tr>
      <w:tr w:rsidR="00E641DC" w:rsidRPr="009C6858" w14:paraId="1214ED69" w14:textId="77777777" w:rsidTr="005940DF">
        <w:trPr>
          <w:trHeight w:val="864"/>
        </w:trPr>
        <w:tc>
          <w:tcPr>
            <w:tcW w:w="500" w:type="dxa"/>
            <w:shd w:val="clear" w:color="auto" w:fill="auto"/>
          </w:tcPr>
          <w:p w14:paraId="360FCF08" w14:textId="77777777" w:rsidR="00E641DC" w:rsidRPr="009C6858" w:rsidRDefault="007050EB">
            <w:r>
              <w:t>9</w:t>
            </w:r>
          </w:p>
        </w:tc>
        <w:tc>
          <w:tcPr>
            <w:tcW w:w="9072" w:type="dxa"/>
            <w:shd w:val="clear" w:color="auto" w:fill="auto"/>
          </w:tcPr>
          <w:p w14:paraId="30C59EB9" w14:textId="77777777" w:rsidR="000E1B7B" w:rsidRDefault="00C21775" w:rsidP="0049472B">
            <w:r>
              <w:t>Does the U</w:t>
            </w:r>
            <w:r w:rsidR="00E641DC">
              <w:t>niversity system use a consolidated health informatics data warehouse today? If so, which vendor was selected? Are any data sources above medical claims, pharmacy claims, and enrollment information passed to the system?</w:t>
            </w:r>
            <w:r w:rsidR="008233FF">
              <w:t xml:space="preserve">   </w:t>
            </w:r>
          </w:p>
          <w:p w14:paraId="17863110" w14:textId="34FA3276" w:rsidR="00E641DC" w:rsidRDefault="000E1B7B" w:rsidP="0049472B">
            <w:r w:rsidRPr="000E1B7B">
              <w:rPr>
                <w:b/>
                <w:bCs/>
                <w:u w:val="single"/>
              </w:rPr>
              <w:t>ANSWER:</w:t>
            </w:r>
            <w:r w:rsidRPr="000E1B7B">
              <w:t xml:space="preserve">  </w:t>
            </w:r>
            <w:r w:rsidR="008233FF" w:rsidRPr="000E1B7B">
              <w:t xml:space="preserve">The University does not currently use a data warehouse service.  The vendor selected in this RFP will be required to receive separate data sets from health, dental and pharmacy TPA/PBM providers as well as from insured benefits providers. </w:t>
            </w:r>
            <w:r w:rsidR="001B13BA" w:rsidRPr="000E1B7B">
              <w:t>The University System owns all plan data.  System staff serve as plan administrators with access to all reporting sets.</w:t>
            </w:r>
          </w:p>
        </w:tc>
      </w:tr>
    </w:tbl>
    <w:p w14:paraId="47E48A45" w14:textId="77777777" w:rsidR="0049472B" w:rsidRDefault="0049472B" w:rsidP="00D60C0D"/>
    <w:sectPr w:rsidR="004947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DAA90" w14:textId="77777777" w:rsidR="00276F23" w:rsidRDefault="00276F23" w:rsidP="009C6858">
      <w:pPr>
        <w:spacing w:after="0" w:line="240" w:lineRule="auto"/>
      </w:pPr>
      <w:r>
        <w:separator/>
      </w:r>
    </w:p>
  </w:endnote>
  <w:endnote w:type="continuationSeparator" w:id="0">
    <w:p w14:paraId="4BA0EA31" w14:textId="77777777" w:rsidR="00276F23" w:rsidRDefault="00276F23" w:rsidP="009C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04D9" w14:textId="77777777" w:rsidR="00E641DC" w:rsidRDefault="00E641DC">
    <w:pPr>
      <w:pStyle w:val="Footer"/>
    </w:pPr>
    <w:r>
      <w:t>11.10.2020 (FINAL)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50E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5CF0" w14:textId="77777777" w:rsidR="00276F23" w:rsidRDefault="00276F23" w:rsidP="009C6858">
      <w:pPr>
        <w:spacing w:after="0" w:line="240" w:lineRule="auto"/>
      </w:pPr>
      <w:r>
        <w:separator/>
      </w:r>
    </w:p>
  </w:footnote>
  <w:footnote w:type="continuationSeparator" w:id="0">
    <w:p w14:paraId="7E87DAB9" w14:textId="77777777" w:rsidR="00276F23" w:rsidRDefault="00276F23" w:rsidP="009C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2058"/>
    <w:multiLevelType w:val="hybridMultilevel"/>
    <w:tmpl w:val="2DDE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4C1"/>
    <w:multiLevelType w:val="hybridMultilevel"/>
    <w:tmpl w:val="09FE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4929"/>
    <w:multiLevelType w:val="hybridMultilevel"/>
    <w:tmpl w:val="7C94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60A8"/>
    <w:multiLevelType w:val="hybridMultilevel"/>
    <w:tmpl w:val="DEBA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71E6"/>
    <w:multiLevelType w:val="hybridMultilevel"/>
    <w:tmpl w:val="868A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F570A"/>
    <w:multiLevelType w:val="hybridMultilevel"/>
    <w:tmpl w:val="D4EE6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1442"/>
    <w:multiLevelType w:val="hybridMultilevel"/>
    <w:tmpl w:val="144887E0"/>
    <w:lvl w:ilvl="0" w:tplc="803E69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717F"/>
    <w:multiLevelType w:val="hybridMultilevel"/>
    <w:tmpl w:val="E88C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0ED0"/>
    <w:multiLevelType w:val="hybridMultilevel"/>
    <w:tmpl w:val="679C356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AE7"/>
    <w:multiLevelType w:val="hybridMultilevel"/>
    <w:tmpl w:val="144887E0"/>
    <w:lvl w:ilvl="0" w:tplc="803E69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0B"/>
    <w:rsid w:val="00024475"/>
    <w:rsid w:val="00043FB3"/>
    <w:rsid w:val="000E1B7B"/>
    <w:rsid w:val="001A152C"/>
    <w:rsid w:val="001B13BA"/>
    <w:rsid w:val="00234F95"/>
    <w:rsid w:val="0024121B"/>
    <w:rsid w:val="00276F23"/>
    <w:rsid w:val="002A702D"/>
    <w:rsid w:val="002D47E4"/>
    <w:rsid w:val="00364256"/>
    <w:rsid w:val="00397D6E"/>
    <w:rsid w:val="004368E5"/>
    <w:rsid w:val="004715FD"/>
    <w:rsid w:val="0049472B"/>
    <w:rsid w:val="00496A2A"/>
    <w:rsid w:val="005673F8"/>
    <w:rsid w:val="005940DF"/>
    <w:rsid w:val="005A3C0B"/>
    <w:rsid w:val="005F3224"/>
    <w:rsid w:val="00620D86"/>
    <w:rsid w:val="00651AD5"/>
    <w:rsid w:val="00697308"/>
    <w:rsid w:val="006E1C9F"/>
    <w:rsid w:val="007050EB"/>
    <w:rsid w:val="007B473E"/>
    <w:rsid w:val="007E5129"/>
    <w:rsid w:val="0081488E"/>
    <w:rsid w:val="008233FF"/>
    <w:rsid w:val="008638FE"/>
    <w:rsid w:val="00892E8B"/>
    <w:rsid w:val="00925C8B"/>
    <w:rsid w:val="00943301"/>
    <w:rsid w:val="00947F63"/>
    <w:rsid w:val="00951A81"/>
    <w:rsid w:val="00951B16"/>
    <w:rsid w:val="009565EC"/>
    <w:rsid w:val="0096134C"/>
    <w:rsid w:val="009C6858"/>
    <w:rsid w:val="009D4E21"/>
    <w:rsid w:val="009D4FB7"/>
    <w:rsid w:val="00A851A7"/>
    <w:rsid w:val="00B84EA7"/>
    <w:rsid w:val="00C21775"/>
    <w:rsid w:val="00C62FE1"/>
    <w:rsid w:val="00D60C0D"/>
    <w:rsid w:val="00D84E95"/>
    <w:rsid w:val="00DD4817"/>
    <w:rsid w:val="00E61D6F"/>
    <w:rsid w:val="00E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0966"/>
  <w15:chartTrackingRefBased/>
  <w15:docId w15:val="{19702117-A4E7-4962-BEEC-107503C6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1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58"/>
  </w:style>
  <w:style w:type="paragraph" w:styleId="Footer">
    <w:name w:val="footer"/>
    <w:basedOn w:val="Normal"/>
    <w:link w:val="FooterChar"/>
    <w:uiPriority w:val="99"/>
    <w:unhideWhenUsed/>
    <w:rsid w:val="009C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58"/>
  </w:style>
  <w:style w:type="table" w:styleId="TableGrid">
    <w:name w:val="Table Grid"/>
    <w:basedOn w:val="TableNormal"/>
    <w:uiPriority w:val="39"/>
    <w:rsid w:val="009C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BB&amp;T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Gramling, Alexander</dc:creator>
  <cp:keywords/>
  <dc:description/>
  <cp:lastModifiedBy>Ellen Ferguson</cp:lastModifiedBy>
  <cp:revision>2</cp:revision>
  <cp:lastPrinted>2020-11-12T15:22:00Z</cp:lastPrinted>
  <dcterms:created xsi:type="dcterms:W3CDTF">2020-11-17T14:16:00Z</dcterms:created>
  <dcterms:modified xsi:type="dcterms:W3CDTF">2020-11-17T14:16:00Z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5e02d686-d3cf-4afb-ba62-2706d67ae40b</vt:lpwstr>
  </property>
  <property fmtid="{D5CDD505-2E9C-101B-9397-08002B2CF9AE}" pid="3" name="Classification">
    <vt:lpwstr>TitusClass-Not Classified</vt:lpwstr>
  </property>
</Properties>
</file>