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6D0C" w14:textId="77777777" w:rsidR="00BB4F13" w:rsidRPr="00BD5DB3" w:rsidRDefault="007916BE" w:rsidP="00BB4F13">
      <w:pPr>
        <w:pStyle w:val="Default"/>
        <w:rPr>
          <w:b/>
          <w:bCs/>
        </w:rPr>
      </w:pPr>
      <w:r w:rsidRPr="00BD5DB3">
        <w:rPr>
          <w:b/>
          <w:bCs/>
        </w:rPr>
        <w:t xml:space="preserve">This document provides adjustments and clarification pertaining to the above captioned RFP and will be </w:t>
      </w:r>
      <w:proofErr w:type="gramStart"/>
      <w:r w:rsidRPr="00BD5DB3">
        <w:rPr>
          <w:b/>
          <w:bCs/>
        </w:rPr>
        <w:t>updated</w:t>
      </w:r>
      <w:proofErr w:type="gramEnd"/>
      <w:r w:rsidRPr="00BD5DB3">
        <w:rPr>
          <w:b/>
          <w:bCs/>
        </w:rPr>
        <w:t xml:space="preserve"> as necessary. </w:t>
      </w:r>
    </w:p>
    <w:p w14:paraId="7C5741D2" w14:textId="77777777" w:rsidR="00BB4F13" w:rsidRPr="00BD5DB3" w:rsidRDefault="00BB4F13" w:rsidP="00BB4F13">
      <w:pPr>
        <w:pStyle w:val="Default"/>
      </w:pPr>
    </w:p>
    <w:p w14:paraId="3A850BAD" w14:textId="77777777" w:rsidR="00BB4F13" w:rsidRPr="00BD5DB3" w:rsidRDefault="00BB4F13" w:rsidP="00BB4F13">
      <w:pPr>
        <w:pStyle w:val="Default"/>
        <w:rPr>
          <w:color w:val="C00000"/>
        </w:rPr>
      </w:pPr>
      <w:r w:rsidRPr="00BD5DB3">
        <w:rPr>
          <w:b/>
          <w:bCs/>
          <w:color w:val="C00000"/>
        </w:rPr>
        <w:t xml:space="preserve">REMINDER: </w:t>
      </w:r>
      <w:r w:rsidRPr="00BD5DB3">
        <w:rPr>
          <w:color w:val="C00000"/>
        </w:rPr>
        <w:t>It is the Respondent's responsibility to thoroughly read and examine the entire RFP document and any addenda to this RFP.</w:t>
      </w:r>
    </w:p>
    <w:p w14:paraId="1D1DC564" w14:textId="77777777" w:rsidR="00BB4F13" w:rsidRPr="00BD5DB3" w:rsidRDefault="00BB4F13" w:rsidP="00BB4F13">
      <w:pPr>
        <w:pStyle w:val="Default"/>
        <w:rPr>
          <w:color w:val="C00000"/>
        </w:rPr>
      </w:pPr>
      <w:r w:rsidRPr="00BD5DB3">
        <w:rPr>
          <w:color w:val="C00000"/>
        </w:rPr>
        <w:t xml:space="preserve"> </w:t>
      </w:r>
    </w:p>
    <w:p w14:paraId="1A2A4321" w14:textId="7665857C" w:rsidR="00BB4F13" w:rsidRPr="00BD5DB3" w:rsidRDefault="00BB4F13" w:rsidP="00BB4F13">
      <w:pPr>
        <w:rPr>
          <w:rFonts w:ascii="Times New Roman" w:hAnsi="Times New Roman" w:cs="Times New Roman"/>
          <w:b/>
          <w:bCs/>
          <w:sz w:val="24"/>
          <w:szCs w:val="24"/>
          <w:u w:val="single"/>
        </w:rPr>
      </w:pPr>
      <w:r w:rsidRPr="008B090E">
        <w:rPr>
          <w:rFonts w:ascii="Times New Roman" w:hAnsi="Times New Roman" w:cs="Times New Roman"/>
          <w:b/>
          <w:bCs/>
          <w:sz w:val="24"/>
          <w:szCs w:val="24"/>
          <w:u w:val="single"/>
        </w:rPr>
        <w:t xml:space="preserve">Posted </w:t>
      </w:r>
      <w:r w:rsidR="00E07A6A" w:rsidRPr="008B090E">
        <w:rPr>
          <w:rFonts w:ascii="Times New Roman" w:hAnsi="Times New Roman" w:cs="Times New Roman"/>
          <w:b/>
          <w:bCs/>
          <w:sz w:val="24"/>
          <w:szCs w:val="24"/>
          <w:u w:val="single"/>
        </w:rPr>
        <w:t>April 23, 2021</w:t>
      </w:r>
    </w:p>
    <w:p w14:paraId="625E0C7F" w14:textId="72ADF881" w:rsidR="007916BE" w:rsidRPr="00BA04E6" w:rsidRDefault="00BA04E6" w:rsidP="00BB4F13">
      <w:pPr>
        <w:rPr>
          <w:rFonts w:ascii="Times New Roman" w:hAnsi="Times New Roman" w:cs="Times New Roman"/>
          <w:bCs/>
          <w:sz w:val="24"/>
          <w:szCs w:val="24"/>
          <w:u w:val="single"/>
        </w:rPr>
      </w:pPr>
      <w:r w:rsidRPr="00BA04E6">
        <w:rPr>
          <w:rFonts w:ascii="Times New Roman" w:hAnsi="Times New Roman" w:cs="Times New Roman"/>
          <w:bCs/>
          <w:sz w:val="24"/>
          <w:szCs w:val="24"/>
          <w:u w:val="single"/>
        </w:rPr>
        <w:t xml:space="preserve">Section </w:t>
      </w:r>
      <w:r w:rsidR="00F3723B">
        <w:rPr>
          <w:rFonts w:ascii="Times New Roman" w:hAnsi="Times New Roman" w:cs="Times New Roman"/>
          <w:bCs/>
          <w:sz w:val="24"/>
          <w:szCs w:val="24"/>
          <w:u w:val="single"/>
        </w:rPr>
        <w:t>8</w:t>
      </w:r>
      <w:r w:rsidR="00E07A6A">
        <w:rPr>
          <w:rFonts w:ascii="Times New Roman" w:hAnsi="Times New Roman" w:cs="Times New Roman"/>
          <w:bCs/>
          <w:sz w:val="24"/>
          <w:szCs w:val="24"/>
          <w:u w:val="single"/>
        </w:rPr>
        <w:t xml:space="preserve"> Contract Term and Termination</w:t>
      </w:r>
      <w:r w:rsidRPr="00BA04E6">
        <w:rPr>
          <w:rFonts w:ascii="Times New Roman" w:hAnsi="Times New Roman" w:cs="Times New Roman"/>
          <w:bCs/>
          <w:sz w:val="24"/>
          <w:szCs w:val="24"/>
          <w:u w:val="single"/>
        </w:rPr>
        <w:t xml:space="preserve"> has been rewritten as follows</w:t>
      </w:r>
      <w:r w:rsidR="00E07A6A">
        <w:rPr>
          <w:rFonts w:ascii="Times New Roman" w:hAnsi="Times New Roman" w:cs="Times New Roman"/>
          <w:bCs/>
          <w:sz w:val="24"/>
          <w:szCs w:val="24"/>
          <w:u w:val="single"/>
        </w:rPr>
        <w:t xml:space="preserve"> in the RFP document</w:t>
      </w:r>
      <w:r w:rsidRPr="00BA04E6">
        <w:rPr>
          <w:rFonts w:ascii="Times New Roman" w:hAnsi="Times New Roman" w:cs="Times New Roman"/>
          <w:bCs/>
          <w:sz w:val="24"/>
          <w:szCs w:val="24"/>
          <w:u w:val="single"/>
        </w:rPr>
        <w:t xml:space="preserve">: </w:t>
      </w:r>
    </w:p>
    <w:p w14:paraId="2931E55E" w14:textId="5A59CA14" w:rsidR="00F3723B" w:rsidRPr="00BA12F5" w:rsidRDefault="00F3723B" w:rsidP="00F3723B">
      <w:pPr>
        <w:tabs>
          <w:tab w:val="num" w:pos="540"/>
        </w:tabs>
        <w:spacing w:after="0" w:line="240" w:lineRule="auto"/>
        <w:ind w:left="540" w:hanging="540"/>
        <w:outlineLvl w:val="0"/>
        <w:rPr>
          <w:rFonts w:ascii="Times New Roman" w:eastAsia="Times New Roman" w:hAnsi="Times New Roman" w:cs="Times New Roman"/>
          <w:b/>
          <w:noProof/>
          <w:color w:val="FF0000"/>
        </w:rPr>
      </w:pPr>
      <w:r>
        <w:rPr>
          <w:rFonts w:ascii="Times New Roman" w:eastAsia="Times New Roman" w:hAnsi="Times New Roman" w:cs="Times New Roman"/>
          <w:b/>
          <w:noProof/>
        </w:rPr>
        <w:t xml:space="preserve">8. </w:t>
      </w:r>
      <w:r w:rsidRPr="00BA12F5">
        <w:rPr>
          <w:rFonts w:ascii="Times New Roman" w:eastAsia="Times New Roman" w:hAnsi="Times New Roman" w:cs="Times New Roman"/>
          <w:b/>
          <w:noProof/>
        </w:rPr>
        <w:t>CONTRACT TERM AND TERMINATION</w:t>
      </w:r>
    </w:p>
    <w:p w14:paraId="7A3920AF" w14:textId="7D669470" w:rsidR="00F3723B" w:rsidRPr="00BA12F5" w:rsidRDefault="00F3723B" w:rsidP="00F3723B">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color w:val="000000" w:themeColor="text1"/>
        </w:rPr>
        <w:t xml:space="preserve">The term (“Term”) of any resulting Contract will </w:t>
      </w:r>
      <w:r w:rsidRPr="00BA12F5">
        <w:rPr>
          <w:rFonts w:ascii="Times New Roman" w:hAnsi="Times New Roman" w:cs="Times New Roman"/>
          <w:bCs/>
          <w:color w:val="000000" w:themeColor="text1"/>
        </w:rPr>
        <w:t>begin upon date of Contract award</w:t>
      </w:r>
      <w:r w:rsidRPr="00BA12F5">
        <w:rPr>
          <w:rFonts w:ascii="Times New Roman" w:hAnsi="Times New Roman" w:cs="Times New Roman"/>
          <w:color w:val="000000" w:themeColor="text1"/>
        </w:rPr>
        <w:t xml:space="preserve">.  If mutually agreed upon in writing by the Contractor and UA, the term shall be </w:t>
      </w:r>
      <w:r>
        <w:rPr>
          <w:rFonts w:ascii="Times New Roman" w:hAnsi="Times New Roman" w:cs="Times New Roman"/>
          <w:color w:val="000000" w:themeColor="text1"/>
        </w:rPr>
        <w:t xml:space="preserve">the shorter of the successful completion of the engagement or no later </w:t>
      </w:r>
      <w:r w:rsidRPr="00D60DF4">
        <w:rPr>
          <w:rFonts w:ascii="Times New Roman" w:hAnsi="Times New Roman" w:cs="Times New Roman"/>
          <w:color w:val="000000" w:themeColor="text1"/>
        </w:rPr>
        <w:t>than</w:t>
      </w:r>
      <w:r>
        <w:rPr>
          <w:rFonts w:ascii="Times New Roman" w:hAnsi="Times New Roman" w:cs="Times New Roman"/>
          <w:color w:val="000000" w:themeColor="text1"/>
        </w:rPr>
        <w:t xml:space="preserve"> December 31, 2021. </w:t>
      </w:r>
      <w:r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the parties agree that this Agreement shall automatically terminate without notice.</w:t>
      </w:r>
    </w:p>
    <w:p w14:paraId="7CA7DC19" w14:textId="77777777" w:rsidR="00F3723B" w:rsidRPr="00BA12F5" w:rsidRDefault="00F3723B" w:rsidP="00F3723B">
      <w:pPr>
        <w:tabs>
          <w:tab w:val="num" w:pos="540"/>
        </w:tabs>
        <w:spacing w:after="0" w:line="240" w:lineRule="auto"/>
        <w:ind w:left="540" w:hanging="540"/>
        <w:outlineLvl w:val="0"/>
        <w:rPr>
          <w:rFonts w:ascii="Times New Roman" w:hAnsi="Times New Roman" w:cs="Times New Roman"/>
        </w:rPr>
      </w:pPr>
    </w:p>
    <w:p w14:paraId="4EB3951B" w14:textId="77777777" w:rsidR="00F3723B" w:rsidRPr="00BA12F5" w:rsidRDefault="00F3723B" w:rsidP="00F3723B">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UA will give thirty (30) days written notice to the Contractor. If at the end of the thirty (30) day period the services are still deemed unsatisfactory, the Contract shall be cancelled by UA, Office of Business Affairs.  Additionally, the Contract may be terminated, without penalty, by UA without cause by giving thirty (30) days written notice of such termination to Contractor.</w:t>
      </w:r>
    </w:p>
    <w:p w14:paraId="5A6C078C" w14:textId="77777777" w:rsidR="00F3723B" w:rsidRPr="00BA12F5" w:rsidRDefault="00F3723B" w:rsidP="00F3723B">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p>
    <w:p w14:paraId="7D6A5E6C" w14:textId="77777777" w:rsidR="00F3723B" w:rsidRPr="00BA12F5" w:rsidRDefault="00F3723B" w:rsidP="00F3723B">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Pr="00BA12F5">
        <w:rPr>
          <w:rFonts w:ascii="Times New Roman" w:hAnsi="Times New Roman" w:cs="Times New Roman"/>
          <w:b/>
        </w:rPr>
        <w:t xml:space="preserve">b) </w:t>
      </w:r>
      <w:r w:rsidRPr="00BA12F5">
        <w:rPr>
          <w:rFonts w:ascii="Times New Roman" w:hAnsi="Times New Roman" w:cs="Times New Roman"/>
        </w:rPr>
        <w:t>Upon award, the agreement is subject to cancellation, without penalty, either in whole or in part, if funds necessary to fulfill the terms and conditions of this Contract during any biennium period of the Term (including any renewal periods) are not appropriated.</w:t>
      </w:r>
    </w:p>
    <w:p w14:paraId="74B549E5" w14:textId="77777777" w:rsidR="00F3723B" w:rsidRPr="00BA12F5" w:rsidRDefault="00F3723B" w:rsidP="00F3723B">
      <w:pPr>
        <w:tabs>
          <w:tab w:val="num" w:pos="540"/>
        </w:tabs>
        <w:spacing w:after="0" w:line="240" w:lineRule="auto"/>
        <w:ind w:left="540" w:hanging="540"/>
        <w:outlineLvl w:val="0"/>
        <w:rPr>
          <w:rFonts w:ascii="Times New Roman" w:hAnsi="Times New Roman" w:cs="Times New Roman"/>
        </w:rPr>
      </w:pPr>
    </w:p>
    <w:p w14:paraId="69E0CF59" w14:textId="77777777" w:rsidR="00F3723B" w:rsidRPr="00BA12F5" w:rsidRDefault="00F3723B" w:rsidP="00F3723B">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UA as provided for under this section give rise to any liability on the part of UA, its trustees, officers, </w:t>
      </w:r>
      <w:proofErr w:type="gramStart"/>
      <w:r w:rsidRPr="00BA12F5">
        <w:rPr>
          <w:rFonts w:ascii="Times New Roman" w:hAnsi="Times New Roman" w:cs="Times New Roman"/>
        </w:rPr>
        <w:t>employees</w:t>
      </w:r>
      <w:proofErr w:type="gramEnd"/>
      <w:r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707F7E98" w14:textId="77777777" w:rsidR="00F3723B" w:rsidRPr="00BA12F5" w:rsidRDefault="00F3723B" w:rsidP="00F3723B">
      <w:pPr>
        <w:tabs>
          <w:tab w:val="num" w:pos="540"/>
        </w:tabs>
        <w:spacing w:after="0" w:line="240" w:lineRule="auto"/>
        <w:ind w:left="540" w:hanging="540"/>
        <w:outlineLvl w:val="0"/>
        <w:rPr>
          <w:rFonts w:ascii="Times New Roman" w:hAnsi="Times New Roman" w:cs="Times New Roman"/>
        </w:rPr>
      </w:pPr>
    </w:p>
    <w:p w14:paraId="66287152" w14:textId="77777777" w:rsidR="00F3723B" w:rsidRPr="00BA12F5" w:rsidRDefault="00F3723B" w:rsidP="00F3723B">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t>The terms, conditions, representations, and warranties contained in the Contract shall survive the termination of the Contract.</w:t>
      </w:r>
    </w:p>
    <w:p w14:paraId="1B202D52" w14:textId="75AE5E64" w:rsidR="007916BE" w:rsidRDefault="007916BE" w:rsidP="00F3723B">
      <w:pPr>
        <w:pStyle w:val="ListParagraph"/>
        <w:tabs>
          <w:tab w:val="left" w:pos="810"/>
        </w:tabs>
        <w:ind w:left="360"/>
        <w:jc w:val="both"/>
        <w:rPr>
          <w:sz w:val="24"/>
          <w:szCs w:val="24"/>
        </w:rPr>
      </w:pPr>
    </w:p>
    <w:p w14:paraId="60A51540" w14:textId="77777777" w:rsidR="00707E9C" w:rsidRDefault="00707E9C" w:rsidP="00707E9C">
      <w:pPr>
        <w:rPr>
          <w:rFonts w:ascii="Times New Roman" w:hAnsi="Times New Roman" w:cs="Times New Roman"/>
          <w:bCs/>
          <w:sz w:val="24"/>
          <w:szCs w:val="24"/>
          <w:u w:val="single"/>
        </w:rPr>
      </w:pPr>
    </w:p>
    <w:p w14:paraId="37F2E1CC" w14:textId="7BCD3289" w:rsidR="00707E9C" w:rsidRDefault="00707E9C">
      <w:pPr>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14:paraId="0F6AA7A3" w14:textId="77777777" w:rsidR="00E07A6A" w:rsidRPr="00E07A6A" w:rsidRDefault="00E07A6A" w:rsidP="00E07A6A">
      <w:pPr>
        <w:pStyle w:val="ListParagraph"/>
        <w:ind w:left="0"/>
        <w:rPr>
          <w:sz w:val="24"/>
          <w:szCs w:val="24"/>
          <w:u w:val="single"/>
          <w:lang w:val="en-IN"/>
        </w:rPr>
      </w:pPr>
      <w:r w:rsidRPr="00E07A6A">
        <w:rPr>
          <w:sz w:val="24"/>
          <w:szCs w:val="24"/>
          <w:u w:val="single"/>
          <w:lang w:val="en-IN"/>
        </w:rPr>
        <w:lastRenderedPageBreak/>
        <w:t>Please note the following conditions to be added under Section 9.5 Conditions of Contract in the RFP document:</w:t>
      </w:r>
    </w:p>
    <w:p w14:paraId="09ADC267" w14:textId="77777777" w:rsidR="00E07A6A" w:rsidRPr="00E07A6A" w:rsidRDefault="00E07A6A" w:rsidP="00E07A6A">
      <w:pPr>
        <w:pStyle w:val="ListParagraph"/>
        <w:rPr>
          <w:sz w:val="24"/>
          <w:szCs w:val="24"/>
        </w:rPr>
      </w:pPr>
    </w:p>
    <w:p w14:paraId="0A5B72AD" w14:textId="77777777" w:rsidR="008B090E" w:rsidRPr="008B090E" w:rsidRDefault="008B090E" w:rsidP="008B090E">
      <w:pPr>
        <w:pStyle w:val="ListParagraph"/>
        <w:rPr>
          <w:sz w:val="22"/>
          <w:szCs w:val="22"/>
        </w:rPr>
      </w:pPr>
      <w:r w:rsidRPr="008B090E">
        <w:rPr>
          <w:sz w:val="22"/>
          <w:szCs w:val="22"/>
        </w:rPr>
        <w:t>Before a Contract can be executed with a winning business entity Respondent, Respondent must: (</w:t>
      </w:r>
      <w:proofErr w:type="spellStart"/>
      <w:r w:rsidRPr="008B090E">
        <w:rPr>
          <w:sz w:val="22"/>
          <w:szCs w:val="22"/>
        </w:rPr>
        <w:t>i</w:t>
      </w:r>
      <w:proofErr w:type="spellEnd"/>
      <w:r w:rsidRPr="008B090E">
        <w:rPr>
          <w:sz w:val="22"/>
          <w:szCs w:val="22"/>
        </w:rPr>
        <w:t>) certify that it is a legal business entity registered with the Arkansas Secretary of State’s office, (ii) provide documentation evidencing proof of filing of a legal business entity with the Arkansas Secretary of State’s office, or (iii) submit a copy of a certificate of authority from the Arkansas Secretary of State authorizing the Respondent to transact business in the State of Arkansas.</w:t>
      </w:r>
    </w:p>
    <w:p w14:paraId="714B0AEC" w14:textId="77777777" w:rsidR="008B090E" w:rsidRPr="008B090E" w:rsidRDefault="008B090E" w:rsidP="008B090E">
      <w:pPr>
        <w:pStyle w:val="ListParagraph"/>
        <w:rPr>
          <w:sz w:val="22"/>
          <w:szCs w:val="22"/>
        </w:rPr>
      </w:pPr>
    </w:p>
    <w:p w14:paraId="66EEE2CA" w14:textId="77777777" w:rsidR="008B090E" w:rsidRPr="008B090E" w:rsidRDefault="008B090E" w:rsidP="008B090E">
      <w:pPr>
        <w:pStyle w:val="ListParagraph"/>
        <w:rPr>
          <w:sz w:val="22"/>
          <w:szCs w:val="22"/>
        </w:rPr>
      </w:pPr>
      <w:r w:rsidRPr="008B090E">
        <w:rPr>
          <w:sz w:val="22"/>
          <w:szCs w:val="22"/>
        </w:rPr>
        <w:t xml:space="preserve">Please note that, pursuant to Ark. Code Ann. § 4-27-1501 and OSP Rule R4:19-11-217, a foreign corporation may not transact business in the State of Arkansas until it obtains a certificate of authority from the Secretary of State. </w:t>
      </w:r>
    </w:p>
    <w:p w14:paraId="125F9F04" w14:textId="77777777" w:rsidR="00E07A6A" w:rsidRDefault="00E07A6A" w:rsidP="00707E9C">
      <w:pPr>
        <w:rPr>
          <w:rFonts w:ascii="Times New Roman" w:hAnsi="Times New Roman" w:cs="Times New Roman"/>
          <w:bCs/>
          <w:sz w:val="24"/>
          <w:szCs w:val="24"/>
          <w:u w:val="single"/>
        </w:rPr>
      </w:pPr>
    </w:p>
    <w:p w14:paraId="572E04C9" w14:textId="3A5A74DE" w:rsidR="00707E9C" w:rsidRPr="00BA04E6" w:rsidRDefault="00707E9C" w:rsidP="00E07A6A">
      <w:pPr>
        <w:rPr>
          <w:rFonts w:ascii="Times New Roman" w:hAnsi="Times New Roman" w:cs="Times New Roman"/>
          <w:bCs/>
          <w:sz w:val="24"/>
          <w:szCs w:val="24"/>
          <w:u w:val="single"/>
        </w:rPr>
      </w:pPr>
      <w:r w:rsidRPr="00BA04E6">
        <w:rPr>
          <w:rFonts w:ascii="Times New Roman" w:hAnsi="Times New Roman" w:cs="Times New Roman"/>
          <w:bCs/>
          <w:sz w:val="24"/>
          <w:szCs w:val="24"/>
          <w:u w:val="single"/>
        </w:rPr>
        <w:t xml:space="preserve">Section </w:t>
      </w:r>
      <w:r>
        <w:rPr>
          <w:rFonts w:ascii="Times New Roman" w:hAnsi="Times New Roman" w:cs="Times New Roman"/>
          <w:bCs/>
          <w:sz w:val="24"/>
          <w:szCs w:val="24"/>
          <w:u w:val="single"/>
        </w:rPr>
        <w:t>15</w:t>
      </w:r>
      <w:r w:rsidR="00E07A6A">
        <w:rPr>
          <w:rFonts w:ascii="Times New Roman" w:hAnsi="Times New Roman" w:cs="Times New Roman"/>
          <w:bCs/>
          <w:sz w:val="24"/>
          <w:szCs w:val="24"/>
          <w:u w:val="single"/>
        </w:rPr>
        <w:t xml:space="preserve"> Evaluation and Selection Process</w:t>
      </w:r>
      <w:r w:rsidRPr="00BA04E6">
        <w:rPr>
          <w:rFonts w:ascii="Times New Roman" w:hAnsi="Times New Roman" w:cs="Times New Roman"/>
          <w:bCs/>
          <w:sz w:val="24"/>
          <w:szCs w:val="24"/>
          <w:u w:val="single"/>
        </w:rPr>
        <w:t xml:space="preserve"> has been rewritten as follows</w:t>
      </w:r>
      <w:r w:rsidR="00E07A6A">
        <w:rPr>
          <w:rFonts w:ascii="Times New Roman" w:hAnsi="Times New Roman" w:cs="Times New Roman"/>
          <w:bCs/>
          <w:sz w:val="24"/>
          <w:szCs w:val="24"/>
          <w:u w:val="single"/>
        </w:rPr>
        <w:t xml:space="preserve"> in the RFP document</w:t>
      </w:r>
      <w:r w:rsidRPr="00BA04E6">
        <w:rPr>
          <w:rFonts w:ascii="Times New Roman" w:hAnsi="Times New Roman" w:cs="Times New Roman"/>
          <w:bCs/>
          <w:sz w:val="24"/>
          <w:szCs w:val="24"/>
          <w:u w:val="single"/>
        </w:rPr>
        <w:t xml:space="preserve">: </w:t>
      </w:r>
    </w:p>
    <w:p w14:paraId="3D6807A2" w14:textId="5AF99B81" w:rsidR="00707E9C" w:rsidRDefault="00707E9C" w:rsidP="00F3723B">
      <w:pPr>
        <w:pStyle w:val="ListParagraph"/>
        <w:tabs>
          <w:tab w:val="left" w:pos="810"/>
        </w:tabs>
        <w:ind w:left="360"/>
        <w:jc w:val="both"/>
        <w:rPr>
          <w:sz w:val="24"/>
          <w:szCs w:val="24"/>
        </w:rPr>
      </w:pPr>
    </w:p>
    <w:p w14:paraId="1A43AF77" w14:textId="7D9AD480" w:rsidR="00707E9C" w:rsidRPr="00BA12F5" w:rsidRDefault="00707E9C" w:rsidP="00707E9C">
      <w:pPr>
        <w:tabs>
          <w:tab w:val="left" w:pos="540"/>
        </w:tabs>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15. </w:t>
      </w:r>
      <w:r w:rsidRPr="00BA12F5">
        <w:rPr>
          <w:rFonts w:ascii="Times New Roman" w:hAnsi="Times New Roman" w:cs="Times New Roman"/>
          <w:b/>
          <w:bCs/>
          <w:color w:val="000000"/>
        </w:rPr>
        <w:t>EVALUATION AND SELECTION PROCESS</w:t>
      </w:r>
    </w:p>
    <w:p w14:paraId="31AF3243" w14:textId="7BC9EC3B" w:rsidR="00707E9C" w:rsidRPr="00BA12F5" w:rsidRDefault="00707E9C" w:rsidP="00707E9C">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Pr="00BA12F5">
        <w:rPr>
          <w:rFonts w:ascii="Times New Roman" w:hAnsi="Times New Roman" w:cs="Times New Roman"/>
        </w:rPr>
        <w:t>elected to evaluate proposals.  UA reserves the right to reject any or all Proposals or any part thereof, to waive informalities, and to accept the Proposal or Proposals deemed most favorable to UA.</w:t>
      </w:r>
      <w:r>
        <w:rPr>
          <w:rFonts w:ascii="Times New Roman" w:hAnsi="Times New Roman" w:cs="Times New Roman"/>
        </w:rPr>
        <w:t xml:space="preserve"> The University of Arkansas Audit and Fiscal Responsibility Committee of the Board of Trustees shall make the recommendation for award of this contract.  </w:t>
      </w:r>
      <w:r w:rsidRPr="00BA12F5">
        <w:rPr>
          <w:rFonts w:ascii="Times New Roman" w:hAnsi="Times New Roman" w:cs="Times New Roman"/>
        </w:rPr>
        <w:t xml:space="preserve">Where </w:t>
      </w:r>
      <w:r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w:t>
      </w:r>
      <w:proofErr w:type="gramStart"/>
      <w:r w:rsidRPr="00BA12F5">
        <w:rPr>
          <w:rFonts w:ascii="Times New Roman" w:hAnsi="Times New Roman" w:cs="Times New Roman"/>
          <w:color w:val="000000"/>
        </w:rPr>
        <w:t>enter into</w:t>
      </w:r>
      <w:proofErr w:type="gramEnd"/>
      <w:r w:rsidRPr="00BA12F5">
        <w:rPr>
          <w:rFonts w:ascii="Times New Roman" w:hAnsi="Times New Roman" w:cs="Times New Roman"/>
          <w:color w:val="000000"/>
        </w:rPr>
        <w:t xml:space="preserve"> Contract negotiations with one or more of the other Respondents.  Proposals shall remain valid and current for the period </w:t>
      </w:r>
      <w:proofErr w:type="gramStart"/>
      <w:r w:rsidRPr="00BA12F5">
        <w:rPr>
          <w:rFonts w:ascii="Times New Roman" w:hAnsi="Times New Roman" w:cs="Times New Roman"/>
          <w:color w:val="000000"/>
        </w:rPr>
        <w:t xml:space="preserve">of </w:t>
      </w:r>
      <w:r w:rsidR="00706CB6">
        <w:rPr>
          <w:rFonts w:ascii="Times New Roman" w:hAnsi="Times New Roman" w:cs="Times New Roman"/>
          <w:color w:val="000000"/>
        </w:rPr>
        <w:t xml:space="preserve"> one</w:t>
      </w:r>
      <w:proofErr w:type="gramEnd"/>
      <w:r w:rsidR="00706CB6">
        <w:rPr>
          <w:rFonts w:ascii="Times New Roman" w:hAnsi="Times New Roman" w:cs="Times New Roman"/>
          <w:color w:val="000000"/>
        </w:rPr>
        <w:t xml:space="preserve"> hundred and twenty (120) </w:t>
      </w:r>
      <w:r w:rsidRPr="00BA12F5">
        <w:rPr>
          <w:rFonts w:ascii="Times New Roman" w:hAnsi="Times New Roman" w:cs="Times New Roman"/>
          <w:color w:val="000000"/>
        </w:rPr>
        <w:t xml:space="preserve">days after the due date and time for submission of Proposals.  Each Proposal will receive a complete evaluation and will be assigned a score of up to </w:t>
      </w:r>
      <w:r w:rsidRPr="008B090E">
        <w:rPr>
          <w:rFonts w:ascii="Times New Roman" w:hAnsi="Times New Roman" w:cs="Times New Roman"/>
        </w:rPr>
        <w:t>100 p</w:t>
      </w:r>
      <w:r w:rsidRPr="00BA12F5">
        <w:rPr>
          <w:rFonts w:ascii="Times New Roman" w:hAnsi="Times New Roman" w:cs="Times New Roman"/>
          <w:color w:val="000000"/>
        </w:rPr>
        <w:t>oints possible based on the following items:</w:t>
      </w:r>
    </w:p>
    <w:p w14:paraId="2927F980" w14:textId="77777777" w:rsidR="00707E9C" w:rsidRPr="00BA12F5" w:rsidRDefault="00707E9C" w:rsidP="00707E9C">
      <w:pPr>
        <w:tabs>
          <w:tab w:val="left" w:pos="540"/>
        </w:tabs>
        <w:spacing w:after="0" w:line="240" w:lineRule="auto"/>
        <w:jc w:val="both"/>
        <w:rPr>
          <w:rFonts w:ascii="Times New Roman" w:hAnsi="Times New Roman" w:cs="Times New Roman"/>
          <w:color w:val="FF0000"/>
        </w:rPr>
      </w:pPr>
    </w:p>
    <w:p w14:paraId="7D9B7013" w14:textId="77777777" w:rsidR="00707E9C" w:rsidRPr="00886694" w:rsidRDefault="00707E9C" w:rsidP="00707E9C">
      <w:pPr>
        <w:pStyle w:val="ListParagraph"/>
        <w:numPr>
          <w:ilvl w:val="0"/>
          <w:numId w:val="4"/>
        </w:numPr>
        <w:tabs>
          <w:tab w:val="left" w:pos="540"/>
        </w:tabs>
        <w:jc w:val="both"/>
        <w:rPr>
          <w:b/>
          <w:bCs/>
          <w:sz w:val="22"/>
          <w:szCs w:val="22"/>
        </w:rPr>
      </w:pPr>
      <w:bookmarkStart w:id="0" w:name="_Hlk12955003"/>
      <w:r w:rsidRPr="00886694">
        <w:rPr>
          <w:b/>
          <w:bCs/>
          <w:sz w:val="22"/>
          <w:szCs w:val="22"/>
        </w:rPr>
        <w:t>Complete/Thorough/Quality Proposal (10 Points)</w:t>
      </w:r>
    </w:p>
    <w:p w14:paraId="4F277B2B" w14:textId="77777777" w:rsidR="00707E9C" w:rsidRPr="00886694" w:rsidRDefault="00707E9C" w:rsidP="00707E9C">
      <w:pPr>
        <w:pStyle w:val="ListParagraph"/>
        <w:tabs>
          <w:tab w:val="left" w:pos="540"/>
        </w:tabs>
        <w:ind w:left="900"/>
        <w:jc w:val="both"/>
        <w:rPr>
          <w:b/>
          <w:bCs/>
          <w:sz w:val="22"/>
          <w:szCs w:val="22"/>
        </w:rPr>
      </w:pPr>
      <w:r w:rsidRPr="00886694">
        <w:rPr>
          <w:sz w:val="22"/>
          <w:szCs w:val="22"/>
        </w:rPr>
        <w:t>Respondent with the highest rating shall receive ten (10) points. Points shall be assigned based on factors within this category, to include but are not limited to:</w:t>
      </w:r>
    </w:p>
    <w:p w14:paraId="38ACFA9C" w14:textId="77777777" w:rsidR="00707E9C" w:rsidRPr="00886694" w:rsidRDefault="00707E9C" w:rsidP="00707E9C">
      <w:pPr>
        <w:pStyle w:val="Default"/>
        <w:ind w:left="720"/>
        <w:jc w:val="both"/>
        <w:rPr>
          <w:color w:val="auto"/>
          <w:sz w:val="22"/>
          <w:szCs w:val="22"/>
        </w:rPr>
      </w:pPr>
    </w:p>
    <w:p w14:paraId="5F171247" w14:textId="77777777" w:rsidR="00707E9C" w:rsidRPr="00886694" w:rsidRDefault="00707E9C" w:rsidP="00707E9C">
      <w:pPr>
        <w:pStyle w:val="ListParagraph"/>
        <w:numPr>
          <w:ilvl w:val="0"/>
          <w:numId w:val="2"/>
        </w:numPr>
        <w:contextualSpacing/>
        <w:jc w:val="both"/>
        <w:rPr>
          <w:sz w:val="22"/>
          <w:szCs w:val="22"/>
        </w:rPr>
      </w:pPr>
      <w:r w:rsidRPr="00886694">
        <w:rPr>
          <w:sz w:val="22"/>
          <w:szCs w:val="22"/>
        </w:rPr>
        <w:t>Understanding of the nature of the engagement.</w:t>
      </w:r>
    </w:p>
    <w:p w14:paraId="1325254F" w14:textId="77777777" w:rsidR="00707E9C" w:rsidRPr="00886694" w:rsidRDefault="00707E9C" w:rsidP="00707E9C">
      <w:pPr>
        <w:pStyle w:val="ListParagraph"/>
        <w:numPr>
          <w:ilvl w:val="0"/>
          <w:numId w:val="2"/>
        </w:numPr>
        <w:contextualSpacing/>
        <w:jc w:val="both"/>
        <w:rPr>
          <w:sz w:val="22"/>
          <w:szCs w:val="22"/>
        </w:rPr>
      </w:pPr>
      <w:r w:rsidRPr="00886694">
        <w:rPr>
          <w:sz w:val="22"/>
          <w:szCs w:val="22"/>
        </w:rPr>
        <w:t xml:space="preserve">Adherence to University Requirements. </w:t>
      </w:r>
    </w:p>
    <w:p w14:paraId="1314F050" w14:textId="77777777" w:rsidR="00707E9C" w:rsidRPr="00886694" w:rsidRDefault="00707E9C" w:rsidP="00707E9C">
      <w:pPr>
        <w:pStyle w:val="ListParagraph"/>
        <w:numPr>
          <w:ilvl w:val="0"/>
          <w:numId w:val="2"/>
        </w:numPr>
        <w:spacing w:after="200" w:line="276" w:lineRule="auto"/>
        <w:contextualSpacing/>
        <w:jc w:val="both"/>
        <w:rPr>
          <w:sz w:val="22"/>
          <w:szCs w:val="22"/>
        </w:rPr>
      </w:pPr>
      <w:r w:rsidRPr="00886694">
        <w:rPr>
          <w:sz w:val="22"/>
          <w:szCs w:val="22"/>
        </w:rPr>
        <w:t>The Respondent’s compliance with all requirements of the RFP specifications.</w:t>
      </w:r>
    </w:p>
    <w:p w14:paraId="2553F1C6" w14:textId="77777777" w:rsidR="00707E9C" w:rsidRPr="00886694" w:rsidRDefault="00707E9C" w:rsidP="00707E9C">
      <w:pPr>
        <w:pStyle w:val="ListParagraph"/>
        <w:numPr>
          <w:ilvl w:val="0"/>
          <w:numId w:val="2"/>
        </w:numPr>
        <w:spacing w:after="200" w:line="276" w:lineRule="auto"/>
        <w:contextualSpacing/>
        <w:jc w:val="both"/>
        <w:rPr>
          <w:sz w:val="22"/>
          <w:szCs w:val="22"/>
        </w:rPr>
      </w:pPr>
      <w:r w:rsidRPr="00886694">
        <w:rPr>
          <w:sz w:val="22"/>
          <w:szCs w:val="22"/>
        </w:rPr>
        <w:t>Detailed proof of all requested qualifications and specified services.</w:t>
      </w:r>
    </w:p>
    <w:p w14:paraId="206F0210" w14:textId="77777777" w:rsidR="00707E9C" w:rsidRPr="00886694" w:rsidRDefault="00707E9C" w:rsidP="00707E9C">
      <w:pPr>
        <w:pStyle w:val="ListParagraph"/>
        <w:numPr>
          <w:ilvl w:val="0"/>
          <w:numId w:val="2"/>
        </w:numPr>
        <w:contextualSpacing/>
        <w:jc w:val="both"/>
        <w:rPr>
          <w:sz w:val="22"/>
          <w:szCs w:val="22"/>
        </w:rPr>
      </w:pPr>
      <w:r w:rsidRPr="00886694">
        <w:rPr>
          <w:sz w:val="22"/>
          <w:szCs w:val="22"/>
        </w:rPr>
        <w:t xml:space="preserve">Respondent Presentations </w:t>
      </w:r>
    </w:p>
    <w:p w14:paraId="5DAEDE14" w14:textId="77777777" w:rsidR="00707E9C" w:rsidRPr="00886694" w:rsidRDefault="00707E9C" w:rsidP="00707E9C">
      <w:pPr>
        <w:pStyle w:val="Default"/>
        <w:ind w:firstLine="360"/>
        <w:jc w:val="both"/>
        <w:rPr>
          <w:color w:val="auto"/>
          <w:sz w:val="22"/>
          <w:szCs w:val="22"/>
        </w:rPr>
      </w:pPr>
      <w:r w:rsidRPr="00886694">
        <w:rPr>
          <w:b/>
          <w:bCs/>
          <w:color w:val="auto"/>
          <w:sz w:val="22"/>
          <w:szCs w:val="22"/>
        </w:rPr>
        <w:t xml:space="preserve">  </w:t>
      </w:r>
    </w:p>
    <w:p w14:paraId="188A7CEF" w14:textId="77777777" w:rsidR="00707E9C" w:rsidRPr="00886694" w:rsidRDefault="00707E9C" w:rsidP="00707E9C">
      <w:pPr>
        <w:pStyle w:val="Default"/>
        <w:numPr>
          <w:ilvl w:val="0"/>
          <w:numId w:val="4"/>
        </w:numPr>
        <w:adjustRightInd/>
        <w:jc w:val="both"/>
        <w:rPr>
          <w:b/>
          <w:bCs/>
          <w:color w:val="auto"/>
          <w:sz w:val="22"/>
          <w:szCs w:val="22"/>
        </w:rPr>
      </w:pPr>
      <w:r w:rsidRPr="00886694">
        <w:rPr>
          <w:b/>
          <w:bCs/>
          <w:color w:val="auto"/>
          <w:sz w:val="22"/>
          <w:szCs w:val="22"/>
        </w:rPr>
        <w:t>Contractor’s Expertise and Qualification (40 Points)</w:t>
      </w:r>
    </w:p>
    <w:p w14:paraId="13E7A43C" w14:textId="77777777" w:rsidR="00707E9C" w:rsidRPr="00886694" w:rsidRDefault="00707E9C" w:rsidP="00707E9C">
      <w:pPr>
        <w:pStyle w:val="Default"/>
        <w:ind w:left="900"/>
        <w:jc w:val="both"/>
        <w:rPr>
          <w:b/>
          <w:bCs/>
          <w:color w:val="auto"/>
          <w:sz w:val="22"/>
          <w:szCs w:val="22"/>
        </w:rPr>
      </w:pPr>
      <w:r w:rsidRPr="00886694">
        <w:rPr>
          <w:color w:val="auto"/>
          <w:sz w:val="22"/>
          <w:szCs w:val="22"/>
        </w:rPr>
        <w:t>Respondent with highest rating shall receive forty (40) points. Points shall be assigned based on factors within this category, to include but are not limited to:</w:t>
      </w:r>
    </w:p>
    <w:p w14:paraId="3894493F" w14:textId="77777777" w:rsidR="00707E9C" w:rsidRPr="00886694" w:rsidRDefault="00707E9C" w:rsidP="00707E9C">
      <w:pPr>
        <w:pStyle w:val="Default"/>
        <w:ind w:left="720" w:hanging="360"/>
        <w:jc w:val="both"/>
        <w:rPr>
          <w:color w:val="auto"/>
          <w:sz w:val="22"/>
          <w:szCs w:val="22"/>
        </w:rPr>
      </w:pPr>
      <w:r w:rsidRPr="00886694">
        <w:rPr>
          <w:color w:val="auto"/>
          <w:sz w:val="22"/>
          <w:szCs w:val="22"/>
        </w:rPr>
        <w:lastRenderedPageBreak/>
        <w:t xml:space="preserve"> </w:t>
      </w:r>
    </w:p>
    <w:p w14:paraId="2BCAB940" w14:textId="77777777" w:rsidR="00707E9C" w:rsidRPr="00886694" w:rsidRDefault="00707E9C" w:rsidP="00707E9C">
      <w:pPr>
        <w:numPr>
          <w:ilvl w:val="0"/>
          <w:numId w:val="8"/>
        </w:numPr>
        <w:spacing w:after="0" w:line="240" w:lineRule="auto"/>
        <w:jc w:val="both"/>
        <w:rPr>
          <w:rFonts w:ascii="Times New Roman" w:hAnsi="Times New Roman" w:cs="Times New Roman"/>
        </w:rPr>
      </w:pPr>
      <w:r w:rsidRPr="00886694">
        <w:rPr>
          <w:rFonts w:ascii="Times New Roman" w:hAnsi="Times New Roman" w:cs="Times New Roman"/>
        </w:rPr>
        <w:t>Contractor’s experience with audits of comparable size.</w:t>
      </w:r>
    </w:p>
    <w:p w14:paraId="1B318B0B" w14:textId="77777777" w:rsidR="00707E9C" w:rsidRPr="00886694" w:rsidRDefault="00707E9C" w:rsidP="00707E9C">
      <w:pPr>
        <w:numPr>
          <w:ilvl w:val="0"/>
          <w:numId w:val="8"/>
        </w:numPr>
        <w:spacing w:after="0" w:line="240" w:lineRule="auto"/>
        <w:jc w:val="both"/>
        <w:rPr>
          <w:rFonts w:ascii="Times New Roman" w:hAnsi="Times New Roman" w:cs="Times New Roman"/>
        </w:rPr>
      </w:pPr>
      <w:r w:rsidRPr="00886694">
        <w:rPr>
          <w:rFonts w:ascii="Times New Roman" w:hAnsi="Times New Roman" w:cs="Times New Roman"/>
        </w:rPr>
        <w:t>References.</w:t>
      </w:r>
    </w:p>
    <w:p w14:paraId="56AFE0B6" w14:textId="77777777" w:rsidR="00707E9C" w:rsidRPr="00886694" w:rsidRDefault="00707E9C" w:rsidP="00707E9C">
      <w:pPr>
        <w:numPr>
          <w:ilvl w:val="0"/>
          <w:numId w:val="8"/>
        </w:numPr>
        <w:spacing w:after="0" w:line="240" w:lineRule="auto"/>
        <w:jc w:val="both"/>
        <w:rPr>
          <w:rFonts w:ascii="Times New Roman" w:hAnsi="Times New Roman" w:cs="Times New Roman"/>
        </w:rPr>
      </w:pPr>
      <w:r w:rsidRPr="00886694">
        <w:rPr>
          <w:rFonts w:ascii="Times New Roman" w:hAnsi="Times New Roman" w:cs="Times New Roman"/>
        </w:rPr>
        <w:t>Training and certification of assigned support.</w:t>
      </w:r>
    </w:p>
    <w:p w14:paraId="344C9D67" w14:textId="77777777" w:rsidR="00707E9C" w:rsidRPr="00886694" w:rsidRDefault="00707E9C" w:rsidP="00707E9C">
      <w:pPr>
        <w:pStyle w:val="Default"/>
        <w:ind w:left="720" w:hanging="360"/>
        <w:jc w:val="both"/>
        <w:rPr>
          <w:b/>
          <w:bCs/>
          <w:color w:val="FF0000"/>
          <w:sz w:val="22"/>
          <w:szCs w:val="22"/>
        </w:rPr>
      </w:pPr>
    </w:p>
    <w:p w14:paraId="7A3F58D9" w14:textId="77777777" w:rsidR="00707E9C" w:rsidRPr="00886694" w:rsidRDefault="00707E9C" w:rsidP="00707E9C">
      <w:pPr>
        <w:pStyle w:val="Default"/>
        <w:numPr>
          <w:ilvl w:val="0"/>
          <w:numId w:val="4"/>
        </w:numPr>
        <w:adjustRightInd/>
        <w:jc w:val="both"/>
        <w:rPr>
          <w:b/>
          <w:bCs/>
          <w:color w:val="auto"/>
          <w:sz w:val="22"/>
          <w:szCs w:val="22"/>
        </w:rPr>
      </w:pPr>
      <w:r w:rsidRPr="00886694">
        <w:rPr>
          <w:b/>
          <w:bCs/>
          <w:color w:val="auto"/>
          <w:sz w:val="22"/>
          <w:szCs w:val="22"/>
        </w:rPr>
        <w:t xml:space="preserve">Cost (50 Points) </w:t>
      </w:r>
    </w:p>
    <w:p w14:paraId="6B407444" w14:textId="77777777" w:rsidR="00707E9C" w:rsidRPr="00886694" w:rsidRDefault="00707E9C" w:rsidP="00707E9C">
      <w:pPr>
        <w:pStyle w:val="Default"/>
        <w:ind w:left="900"/>
        <w:rPr>
          <w:b/>
          <w:bCs/>
          <w:color w:val="auto"/>
          <w:sz w:val="22"/>
          <w:szCs w:val="22"/>
        </w:rPr>
      </w:pPr>
      <w:r w:rsidRPr="00886694">
        <w:rPr>
          <w:color w:val="auto"/>
          <w:sz w:val="22"/>
          <w:szCs w:val="22"/>
        </w:rPr>
        <w:t>Points shall be assigned for the cost of the specific categories of services, which comprise the overall system, including annual maintenance cost, as follows:</w:t>
      </w:r>
    </w:p>
    <w:p w14:paraId="22B94339" w14:textId="77777777" w:rsidR="00707E9C" w:rsidRPr="00886694" w:rsidRDefault="00707E9C" w:rsidP="00707E9C">
      <w:pPr>
        <w:pStyle w:val="Default"/>
        <w:ind w:left="720" w:hanging="360"/>
        <w:rPr>
          <w:color w:val="auto"/>
          <w:sz w:val="22"/>
          <w:szCs w:val="22"/>
        </w:rPr>
      </w:pPr>
    </w:p>
    <w:p w14:paraId="3854B88D" w14:textId="77777777" w:rsidR="00707E9C" w:rsidRPr="00886694" w:rsidRDefault="00707E9C" w:rsidP="00707E9C">
      <w:pPr>
        <w:pStyle w:val="Default"/>
        <w:numPr>
          <w:ilvl w:val="0"/>
          <w:numId w:val="3"/>
        </w:numPr>
        <w:adjustRightInd/>
        <w:rPr>
          <w:color w:val="auto"/>
          <w:sz w:val="22"/>
          <w:szCs w:val="22"/>
        </w:rPr>
      </w:pPr>
      <w:r w:rsidRPr="00886694">
        <w:rPr>
          <w:color w:val="auto"/>
          <w:sz w:val="22"/>
          <w:szCs w:val="22"/>
        </w:rPr>
        <w:t>Cost points will be assigned on the specific component basis as reflected on the Official Price Sheet, for comparison and evaluation purposes.</w:t>
      </w:r>
    </w:p>
    <w:p w14:paraId="2538C0B5" w14:textId="77777777" w:rsidR="00707E9C" w:rsidRPr="00886694" w:rsidRDefault="00707E9C" w:rsidP="00707E9C">
      <w:pPr>
        <w:pStyle w:val="Default"/>
        <w:numPr>
          <w:ilvl w:val="0"/>
          <w:numId w:val="3"/>
        </w:numPr>
        <w:adjustRightInd/>
        <w:rPr>
          <w:color w:val="auto"/>
          <w:sz w:val="22"/>
          <w:szCs w:val="22"/>
        </w:rPr>
      </w:pPr>
      <w:r w:rsidRPr="00886694">
        <w:rPr>
          <w:color w:val="auto"/>
          <w:sz w:val="22"/>
          <w:szCs w:val="22"/>
        </w:rPr>
        <w:t>The bid with the lowest estimated cost of the overall system will receive the maximum points possible for this section.</w:t>
      </w:r>
    </w:p>
    <w:p w14:paraId="0D459E2C" w14:textId="77777777" w:rsidR="00707E9C" w:rsidRPr="00886694" w:rsidRDefault="00707E9C" w:rsidP="00707E9C">
      <w:pPr>
        <w:pStyle w:val="Default"/>
        <w:numPr>
          <w:ilvl w:val="0"/>
          <w:numId w:val="3"/>
        </w:numPr>
        <w:adjustRightInd/>
        <w:jc w:val="both"/>
        <w:rPr>
          <w:b/>
          <w:bCs/>
          <w:color w:val="auto"/>
          <w:sz w:val="22"/>
          <w:szCs w:val="22"/>
        </w:rPr>
      </w:pPr>
      <w:r w:rsidRPr="00886694">
        <w:rPr>
          <w:color w:val="auto"/>
          <w:sz w:val="22"/>
          <w:szCs w:val="22"/>
        </w:rPr>
        <w:t>Remaining bids will receive points in accordance with the following formula:</w:t>
      </w:r>
    </w:p>
    <w:p w14:paraId="42D1BD39" w14:textId="77777777" w:rsidR="00707E9C" w:rsidRPr="00886694" w:rsidRDefault="00707E9C" w:rsidP="00707E9C">
      <w:pPr>
        <w:pStyle w:val="Default"/>
        <w:ind w:left="1449"/>
        <w:jc w:val="both"/>
        <w:rPr>
          <w:b/>
          <w:bCs/>
          <w:color w:val="auto"/>
          <w:sz w:val="22"/>
          <w:szCs w:val="22"/>
        </w:rPr>
      </w:pPr>
    </w:p>
    <w:p w14:paraId="0355193D" w14:textId="77777777" w:rsidR="00707E9C" w:rsidRPr="00886694" w:rsidRDefault="00707E9C" w:rsidP="00707E9C">
      <w:pPr>
        <w:pStyle w:val="Default"/>
        <w:ind w:left="1449"/>
        <w:jc w:val="both"/>
        <w:rPr>
          <w:b/>
          <w:bCs/>
          <w:color w:val="auto"/>
          <w:sz w:val="22"/>
          <w:szCs w:val="22"/>
        </w:rPr>
      </w:pPr>
      <w:r w:rsidRPr="00886694">
        <w:rPr>
          <w:b/>
          <w:bCs/>
          <w:color w:val="auto"/>
          <w:sz w:val="22"/>
          <w:szCs w:val="22"/>
        </w:rPr>
        <w:tab/>
        <w:t>(a/</w:t>
      </w:r>
      <w:proofErr w:type="gramStart"/>
      <w:r w:rsidRPr="00886694">
        <w:rPr>
          <w:b/>
          <w:bCs/>
          <w:color w:val="auto"/>
          <w:sz w:val="22"/>
          <w:szCs w:val="22"/>
        </w:rPr>
        <w:t>b)(</w:t>
      </w:r>
      <w:proofErr w:type="gramEnd"/>
      <w:r w:rsidRPr="00886694">
        <w:rPr>
          <w:b/>
          <w:bCs/>
          <w:color w:val="auto"/>
          <w:sz w:val="22"/>
          <w:szCs w:val="22"/>
        </w:rPr>
        <w:t>c) = d</w:t>
      </w:r>
    </w:p>
    <w:p w14:paraId="72B5F15B" w14:textId="77777777" w:rsidR="00707E9C" w:rsidRPr="00886694" w:rsidRDefault="00707E9C" w:rsidP="00707E9C">
      <w:pPr>
        <w:pStyle w:val="Default"/>
        <w:ind w:left="1449"/>
        <w:jc w:val="both"/>
        <w:rPr>
          <w:color w:val="auto"/>
          <w:sz w:val="22"/>
          <w:szCs w:val="22"/>
        </w:rPr>
      </w:pPr>
      <w:r w:rsidRPr="00886694">
        <w:rPr>
          <w:color w:val="auto"/>
          <w:sz w:val="22"/>
          <w:szCs w:val="22"/>
        </w:rPr>
        <w:tab/>
        <w:t>a = lowest cost bid in dollars</w:t>
      </w:r>
    </w:p>
    <w:p w14:paraId="48F912BE" w14:textId="77777777" w:rsidR="00707E9C" w:rsidRPr="00BA12F5" w:rsidRDefault="00707E9C" w:rsidP="00707E9C">
      <w:pPr>
        <w:pStyle w:val="Default"/>
        <w:ind w:left="1449"/>
        <w:jc w:val="both"/>
        <w:rPr>
          <w:color w:val="auto"/>
          <w:sz w:val="22"/>
          <w:szCs w:val="22"/>
        </w:rPr>
      </w:pPr>
      <w:r w:rsidRPr="00BA12F5">
        <w:rPr>
          <w:color w:val="auto"/>
          <w:sz w:val="22"/>
          <w:szCs w:val="22"/>
        </w:rPr>
        <w:tab/>
        <w:t>b = second (third, fourth, etc.) lowest cost bid</w:t>
      </w:r>
    </w:p>
    <w:p w14:paraId="1650D5F9" w14:textId="77777777" w:rsidR="00707E9C" w:rsidRPr="00BA12F5" w:rsidRDefault="00707E9C" w:rsidP="00707E9C">
      <w:pPr>
        <w:pStyle w:val="Default"/>
        <w:ind w:left="1449"/>
        <w:jc w:val="both"/>
        <w:rPr>
          <w:color w:val="auto"/>
          <w:sz w:val="22"/>
          <w:szCs w:val="22"/>
        </w:rPr>
      </w:pPr>
      <w:r w:rsidRPr="00BA12F5">
        <w:rPr>
          <w:color w:val="auto"/>
          <w:sz w:val="22"/>
          <w:szCs w:val="22"/>
        </w:rPr>
        <w:tab/>
        <w:t>c = maximum points for Cost category (</w:t>
      </w:r>
      <w:r>
        <w:rPr>
          <w:color w:val="auto"/>
          <w:sz w:val="22"/>
          <w:szCs w:val="22"/>
        </w:rPr>
        <w:t>50</w:t>
      </w:r>
      <w:r w:rsidRPr="00BA12F5">
        <w:rPr>
          <w:color w:val="auto"/>
          <w:sz w:val="22"/>
          <w:szCs w:val="22"/>
        </w:rPr>
        <w:t>)</w:t>
      </w:r>
    </w:p>
    <w:p w14:paraId="362D67DB" w14:textId="77777777" w:rsidR="00707E9C" w:rsidRPr="00BA12F5" w:rsidRDefault="00707E9C" w:rsidP="00707E9C">
      <w:pPr>
        <w:pStyle w:val="Default"/>
        <w:ind w:left="1449"/>
        <w:jc w:val="both"/>
        <w:rPr>
          <w:color w:val="auto"/>
          <w:sz w:val="22"/>
          <w:szCs w:val="22"/>
        </w:rPr>
      </w:pPr>
      <w:r w:rsidRPr="00BA12F5">
        <w:rPr>
          <w:color w:val="auto"/>
          <w:sz w:val="22"/>
          <w:szCs w:val="22"/>
        </w:rPr>
        <w:tab/>
        <w:t>d = number of points allocated to bid</w:t>
      </w:r>
    </w:p>
    <w:bookmarkEnd w:id="0"/>
    <w:p w14:paraId="06F61175" w14:textId="77777777" w:rsidR="00707E9C" w:rsidRPr="00BA12F5" w:rsidRDefault="00707E9C" w:rsidP="00707E9C">
      <w:pPr>
        <w:tabs>
          <w:tab w:val="left" w:pos="540"/>
        </w:tabs>
        <w:spacing w:after="0" w:line="240" w:lineRule="auto"/>
        <w:ind w:left="540"/>
        <w:jc w:val="both"/>
        <w:rPr>
          <w:rFonts w:ascii="Times New Roman" w:hAnsi="Times New Roman" w:cs="Times New Roman"/>
        </w:rPr>
      </w:pPr>
    </w:p>
    <w:p w14:paraId="29086144" w14:textId="77777777" w:rsidR="00707E9C" w:rsidRPr="00872AB9" w:rsidRDefault="00707E9C" w:rsidP="00707E9C">
      <w:pPr>
        <w:tabs>
          <w:tab w:val="left" w:pos="540"/>
        </w:tabs>
        <w:spacing w:after="0" w:line="240" w:lineRule="auto"/>
        <w:ind w:left="540"/>
        <w:jc w:val="both"/>
        <w:rPr>
          <w:rFonts w:ascii="Times New Roman" w:hAnsi="Times New Roman" w:cs="Times New Roman"/>
        </w:rPr>
      </w:pPr>
      <w:r w:rsidRPr="00872AB9">
        <w:rPr>
          <w:rFonts w:ascii="Times New Roman" w:hAnsi="Times New Roman" w:cs="Times New Roman"/>
        </w:rPr>
        <w:t>Failure of the Respondent to provide in his/her proposal any information requested in this RFP may result in disqualification of his/her proposal and shall be the responsibility of the respondent.</w:t>
      </w:r>
    </w:p>
    <w:p w14:paraId="3927116B" w14:textId="2AD40E5D" w:rsidR="00E07A6A" w:rsidRDefault="00E07A6A" w:rsidP="00F3723B">
      <w:pPr>
        <w:pStyle w:val="ListParagraph"/>
        <w:tabs>
          <w:tab w:val="left" w:pos="810"/>
        </w:tabs>
        <w:ind w:left="360"/>
        <w:jc w:val="both"/>
        <w:rPr>
          <w:sz w:val="24"/>
          <w:szCs w:val="24"/>
        </w:rPr>
      </w:pPr>
    </w:p>
    <w:p w14:paraId="5822ADB3" w14:textId="77777777" w:rsidR="00E07A6A" w:rsidRPr="00E07A6A" w:rsidRDefault="00E07A6A" w:rsidP="00E07A6A">
      <w:pPr>
        <w:pStyle w:val="ListParagraph"/>
        <w:rPr>
          <w:sz w:val="24"/>
          <w:szCs w:val="24"/>
        </w:rPr>
      </w:pPr>
    </w:p>
    <w:p w14:paraId="456E941A" w14:textId="77777777" w:rsidR="00E07A6A" w:rsidRPr="00E07A6A" w:rsidRDefault="00E07A6A" w:rsidP="00E07A6A">
      <w:pPr>
        <w:pStyle w:val="ListParagraph"/>
        <w:ind w:left="360"/>
        <w:jc w:val="both"/>
        <w:rPr>
          <w:sz w:val="24"/>
          <w:szCs w:val="24"/>
          <w:u w:val="single"/>
        </w:rPr>
      </w:pPr>
      <w:r w:rsidRPr="00E07A6A">
        <w:rPr>
          <w:sz w:val="24"/>
          <w:szCs w:val="24"/>
          <w:u w:val="single"/>
        </w:rPr>
        <w:t>All other elements of the Request for Proposal remain the same.</w:t>
      </w:r>
    </w:p>
    <w:p w14:paraId="79ECC11E" w14:textId="61D1F7ED" w:rsidR="00E07A6A" w:rsidRDefault="00E07A6A" w:rsidP="00E07A6A">
      <w:pPr>
        <w:tabs>
          <w:tab w:val="left" w:pos="540"/>
        </w:tabs>
        <w:spacing w:after="0" w:line="240" w:lineRule="auto"/>
        <w:rPr>
          <w:rFonts w:ascii="Times New Roman" w:hAnsi="Times New Roman" w:cs="Times New Roman"/>
          <w:b/>
          <w:color w:val="000000"/>
          <w:sz w:val="24"/>
          <w:szCs w:val="24"/>
        </w:rPr>
      </w:pPr>
    </w:p>
    <w:p w14:paraId="4F213974" w14:textId="48A608BB" w:rsidR="009D43E8" w:rsidRDefault="009D43E8" w:rsidP="00E07A6A">
      <w:pPr>
        <w:tabs>
          <w:tab w:val="left" w:pos="540"/>
        </w:tabs>
        <w:spacing w:after="0" w:line="240" w:lineRule="auto"/>
        <w:rPr>
          <w:rFonts w:ascii="Times New Roman" w:hAnsi="Times New Roman" w:cs="Times New Roman"/>
          <w:b/>
          <w:color w:val="000000"/>
          <w:sz w:val="24"/>
          <w:szCs w:val="24"/>
        </w:rPr>
      </w:pPr>
    </w:p>
    <w:p w14:paraId="4E54D102" w14:textId="77777777" w:rsidR="009D43E8" w:rsidRPr="009D43E8" w:rsidRDefault="009D43E8" w:rsidP="009D43E8">
      <w:pPr>
        <w:pStyle w:val="ListParagraph"/>
        <w:ind w:left="360"/>
        <w:rPr>
          <w:sz w:val="24"/>
          <w:szCs w:val="24"/>
        </w:rPr>
      </w:pPr>
      <w:r w:rsidRPr="009D43E8">
        <w:rPr>
          <w:sz w:val="24"/>
          <w:szCs w:val="24"/>
        </w:rPr>
        <w:t>Ellen Ferguson</w:t>
      </w:r>
    </w:p>
    <w:p w14:paraId="26E312E5" w14:textId="77777777" w:rsidR="009D43E8" w:rsidRPr="009D43E8" w:rsidRDefault="009D43E8" w:rsidP="009D43E8">
      <w:pPr>
        <w:pStyle w:val="ListParagraph"/>
        <w:ind w:left="360"/>
        <w:rPr>
          <w:sz w:val="24"/>
          <w:szCs w:val="24"/>
        </w:rPr>
      </w:pPr>
      <w:r w:rsidRPr="009D43E8">
        <w:rPr>
          <w:sz w:val="24"/>
          <w:szCs w:val="24"/>
        </w:rPr>
        <w:t xml:space="preserve">Sr. Procurement Coordinator </w:t>
      </w:r>
    </w:p>
    <w:p w14:paraId="70589482" w14:textId="77777777" w:rsidR="009D43E8" w:rsidRPr="009D43E8" w:rsidRDefault="009D43E8" w:rsidP="009D43E8">
      <w:pPr>
        <w:pStyle w:val="ListParagraph"/>
        <w:rPr>
          <w:sz w:val="24"/>
          <w:szCs w:val="24"/>
        </w:rPr>
      </w:pPr>
    </w:p>
    <w:p w14:paraId="24A9D5DC" w14:textId="77777777" w:rsidR="009D43E8" w:rsidRPr="00E07A6A" w:rsidRDefault="009D43E8" w:rsidP="00E07A6A">
      <w:pPr>
        <w:tabs>
          <w:tab w:val="left" w:pos="540"/>
        </w:tabs>
        <w:spacing w:after="0" w:line="240" w:lineRule="auto"/>
        <w:rPr>
          <w:rFonts w:ascii="Times New Roman" w:hAnsi="Times New Roman" w:cs="Times New Roman"/>
          <w:b/>
          <w:color w:val="000000"/>
          <w:sz w:val="24"/>
          <w:szCs w:val="24"/>
        </w:rPr>
      </w:pPr>
    </w:p>
    <w:sectPr w:rsidR="009D43E8" w:rsidRPr="00E07A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2D4B" w14:textId="77777777" w:rsidR="0074673C" w:rsidRDefault="0074673C" w:rsidP="00BB4F13">
      <w:pPr>
        <w:spacing w:after="0" w:line="240" w:lineRule="auto"/>
      </w:pPr>
      <w:r>
        <w:separator/>
      </w:r>
    </w:p>
  </w:endnote>
  <w:endnote w:type="continuationSeparator" w:id="0">
    <w:p w14:paraId="29EC63F7" w14:textId="77777777" w:rsidR="0074673C" w:rsidRDefault="0074673C" w:rsidP="00BB4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34F7" w14:textId="77777777" w:rsidR="00E07A6A" w:rsidRDefault="00E07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DE24" w14:textId="77777777" w:rsidR="00E07A6A" w:rsidRDefault="00E07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8DC1" w14:textId="77777777" w:rsidR="00E07A6A" w:rsidRDefault="00E0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6253" w14:textId="77777777" w:rsidR="0074673C" w:rsidRDefault="0074673C" w:rsidP="00BB4F13">
      <w:pPr>
        <w:spacing w:after="0" w:line="240" w:lineRule="auto"/>
      </w:pPr>
      <w:r>
        <w:separator/>
      </w:r>
    </w:p>
  </w:footnote>
  <w:footnote w:type="continuationSeparator" w:id="0">
    <w:p w14:paraId="0BEE8ECE" w14:textId="77777777" w:rsidR="0074673C" w:rsidRDefault="0074673C" w:rsidP="00BB4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ECA6" w14:textId="77777777" w:rsidR="00E07A6A" w:rsidRDefault="00E0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E851" w14:textId="77777777" w:rsidR="00BB4F13" w:rsidRDefault="00BB4F13" w:rsidP="00BB4F13">
    <w:pPr>
      <w:pStyle w:val="Default"/>
    </w:pPr>
  </w:p>
  <w:p w14:paraId="1D9A378E" w14:textId="6AE7FC16" w:rsidR="00BB4F13" w:rsidRDefault="00BB4F13" w:rsidP="00BB4F13">
    <w:pPr>
      <w:pStyle w:val="Default"/>
      <w:jc w:val="center"/>
      <w:rPr>
        <w:b/>
        <w:bCs/>
        <w:sz w:val="28"/>
        <w:szCs w:val="28"/>
      </w:rPr>
    </w:pPr>
    <w:r>
      <w:rPr>
        <w:b/>
        <w:bCs/>
        <w:sz w:val="28"/>
        <w:szCs w:val="28"/>
      </w:rPr>
      <w:t>Addendum</w:t>
    </w:r>
    <w:r w:rsidR="00E07A6A">
      <w:rPr>
        <w:b/>
        <w:bCs/>
        <w:sz w:val="28"/>
        <w:szCs w:val="28"/>
      </w:rPr>
      <w:t xml:space="preserve"> #1</w:t>
    </w:r>
  </w:p>
  <w:p w14:paraId="13E34EA4" w14:textId="124C93B1" w:rsidR="00E07A6A" w:rsidRDefault="00E07A6A" w:rsidP="00E07A6A">
    <w:pPr>
      <w:pStyle w:val="Default"/>
      <w:jc w:val="center"/>
      <w:rPr>
        <w:b/>
        <w:bCs/>
        <w:sz w:val="28"/>
        <w:szCs w:val="28"/>
      </w:rPr>
    </w:pPr>
    <w:r>
      <w:rPr>
        <w:b/>
        <w:bCs/>
        <w:sz w:val="28"/>
        <w:szCs w:val="28"/>
      </w:rPr>
      <w:t>RFP #041321</w:t>
    </w:r>
  </w:p>
  <w:p w14:paraId="40520B0B" w14:textId="1ECAA3ED" w:rsidR="00BB4F13" w:rsidRDefault="00F3723B" w:rsidP="00BB4F13">
    <w:pPr>
      <w:pStyle w:val="Default"/>
      <w:jc w:val="center"/>
      <w:rPr>
        <w:b/>
        <w:bCs/>
        <w:sz w:val="28"/>
        <w:szCs w:val="28"/>
      </w:rPr>
    </w:pPr>
    <w:r>
      <w:rPr>
        <w:b/>
        <w:bCs/>
        <w:sz w:val="28"/>
        <w:szCs w:val="28"/>
      </w:rPr>
      <w:t xml:space="preserve">Independent Validation of Internal Audit </w:t>
    </w:r>
    <w:r w:rsidR="00D60DF4">
      <w:rPr>
        <w:b/>
        <w:bCs/>
        <w:sz w:val="28"/>
        <w:szCs w:val="28"/>
      </w:rPr>
      <w:t>Department’s</w:t>
    </w:r>
    <w:r>
      <w:rPr>
        <w:b/>
        <w:bCs/>
        <w:sz w:val="28"/>
        <w:szCs w:val="28"/>
      </w:rPr>
      <w:t xml:space="preserve"> Self-Assessment</w:t>
    </w:r>
  </w:p>
  <w:p w14:paraId="5EFF7E88" w14:textId="5F0890DF" w:rsidR="00E07A6A" w:rsidRDefault="00E07A6A" w:rsidP="00BB4F13">
    <w:pPr>
      <w:pStyle w:val="Default"/>
      <w:jc w:val="center"/>
      <w:rPr>
        <w:sz w:val="28"/>
        <w:szCs w:val="28"/>
      </w:rPr>
    </w:pPr>
    <w:r>
      <w:rPr>
        <w:b/>
        <w:bCs/>
        <w:sz w:val="28"/>
        <w:szCs w:val="28"/>
      </w:rPr>
      <w:t>April 23, 2021</w:t>
    </w:r>
  </w:p>
  <w:p w14:paraId="5BCC60D2" w14:textId="77777777" w:rsidR="00BB4F13" w:rsidRDefault="00BB4F13" w:rsidP="00BB4F13">
    <w:pPr>
      <w:pStyle w:val="Defaul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9AA8" w14:textId="77777777" w:rsidR="00E07A6A" w:rsidRDefault="00E0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2DBD660B"/>
    <w:multiLevelType w:val="multilevel"/>
    <w:tmpl w:val="25884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2A0F80"/>
    <w:multiLevelType w:val="hybridMultilevel"/>
    <w:tmpl w:val="AABC6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6D2012"/>
    <w:multiLevelType w:val="hybridMultilevel"/>
    <w:tmpl w:val="C832A840"/>
    <w:lvl w:ilvl="0" w:tplc="56883482">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D010040"/>
    <w:multiLevelType w:val="hybridMultilevel"/>
    <w:tmpl w:val="EAE6F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9F2277"/>
    <w:multiLevelType w:val="hybridMultilevel"/>
    <w:tmpl w:val="E854698A"/>
    <w:lvl w:ilvl="0" w:tplc="04090001">
      <w:start w:val="1"/>
      <w:numFmt w:val="bullet"/>
      <w:lvlText w:val=""/>
      <w:lvlJc w:val="left"/>
      <w:pPr>
        <w:tabs>
          <w:tab w:val="num" w:pos="1720"/>
        </w:tabs>
        <w:ind w:left="1720" w:hanging="360"/>
      </w:pPr>
      <w:rPr>
        <w:rFonts w:ascii="Symbol" w:hAnsi="Symbol"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4"/>
  </w:num>
  <w:num w:numId="6">
    <w:abstractNumId w:val="8"/>
  </w:num>
  <w:num w:numId="7">
    <w:abstractNumId w:val="7"/>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13"/>
    <w:rsid w:val="00386228"/>
    <w:rsid w:val="004613DC"/>
    <w:rsid w:val="0053759C"/>
    <w:rsid w:val="0059484B"/>
    <w:rsid w:val="006608E5"/>
    <w:rsid w:val="00706CB6"/>
    <w:rsid w:val="00707E9C"/>
    <w:rsid w:val="0074673C"/>
    <w:rsid w:val="007916BE"/>
    <w:rsid w:val="00815A12"/>
    <w:rsid w:val="008B090E"/>
    <w:rsid w:val="00900BBD"/>
    <w:rsid w:val="00910CE8"/>
    <w:rsid w:val="009D43E8"/>
    <w:rsid w:val="00BA04E6"/>
    <w:rsid w:val="00BB4F13"/>
    <w:rsid w:val="00BD5DB3"/>
    <w:rsid w:val="00D60DF4"/>
    <w:rsid w:val="00DF4ED0"/>
    <w:rsid w:val="00E07A6A"/>
    <w:rsid w:val="00E11471"/>
    <w:rsid w:val="00F3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3B0E"/>
  <w15:chartTrackingRefBased/>
  <w15:docId w15:val="{CB08A311-189A-4582-A1D9-7E1AEB40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13"/>
  </w:style>
  <w:style w:type="paragraph" w:styleId="Footer">
    <w:name w:val="footer"/>
    <w:basedOn w:val="Normal"/>
    <w:link w:val="FooterChar"/>
    <w:uiPriority w:val="99"/>
    <w:unhideWhenUsed/>
    <w:rsid w:val="00BB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13"/>
  </w:style>
  <w:style w:type="paragraph" w:customStyle="1" w:styleId="Default">
    <w:name w:val="Default"/>
    <w:rsid w:val="00BB4F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228"/>
    <w:rPr>
      <w:rFonts w:ascii="Segoe UI" w:hAnsi="Segoe UI" w:cs="Segoe UI"/>
      <w:sz w:val="18"/>
      <w:szCs w:val="18"/>
    </w:rPr>
  </w:style>
  <w:style w:type="paragraph" w:customStyle="1" w:styleId="MyNormal">
    <w:name w:val="My Normal"/>
    <w:basedOn w:val="Normal"/>
    <w:rsid w:val="007916BE"/>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styleId="NoSpacing">
    <w:name w:val="No Spacing"/>
    <w:uiPriority w:val="1"/>
    <w:qFormat/>
    <w:rsid w:val="007916BE"/>
    <w:pPr>
      <w:spacing w:after="0" w:line="240" w:lineRule="auto"/>
    </w:pPr>
  </w:style>
  <w:style w:type="paragraph" w:styleId="ListParagraph">
    <w:name w:val="List Paragraph"/>
    <w:basedOn w:val="Normal"/>
    <w:uiPriority w:val="34"/>
    <w:qFormat/>
    <w:rsid w:val="007916BE"/>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314">
      <w:bodyDiv w:val="1"/>
      <w:marLeft w:val="0"/>
      <w:marRight w:val="0"/>
      <w:marTop w:val="0"/>
      <w:marBottom w:val="0"/>
      <w:divBdr>
        <w:top w:val="none" w:sz="0" w:space="0" w:color="auto"/>
        <w:left w:val="none" w:sz="0" w:space="0" w:color="auto"/>
        <w:bottom w:val="none" w:sz="0" w:space="0" w:color="auto"/>
        <w:right w:val="none" w:sz="0" w:space="0" w:color="auto"/>
      </w:divBdr>
    </w:div>
    <w:div w:id="15583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Cheak</dc:creator>
  <cp:keywords/>
  <dc:description/>
  <cp:lastModifiedBy>Ellen Ferguson</cp:lastModifiedBy>
  <cp:revision>2</cp:revision>
  <cp:lastPrinted>2019-07-26T18:18:00Z</cp:lastPrinted>
  <dcterms:created xsi:type="dcterms:W3CDTF">2021-04-23T19:05:00Z</dcterms:created>
  <dcterms:modified xsi:type="dcterms:W3CDTF">2021-04-23T19:05:00Z</dcterms:modified>
</cp:coreProperties>
</file>