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AF50" w14:textId="77777777" w:rsidR="00094574" w:rsidRDefault="00094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B8D1" w14:textId="77777777" w:rsidR="00094574" w:rsidRDefault="00094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C75B" w14:textId="77777777" w:rsidR="00094574" w:rsidRDefault="00094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521FD5BF" w:rsidR="003F1667" w:rsidRPr="00667A39" w:rsidRDefault="00094574" w:rsidP="00776221">
          <w:pPr>
            <w:rPr>
              <w:b/>
              <w:bCs/>
            </w:rPr>
          </w:pPr>
          <w:r>
            <w:rPr>
              <w:b/>
              <w:bCs/>
            </w:rPr>
            <w:t>AVCF</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36032058" w:rsidR="00E6038D" w:rsidRDefault="00E6038D" w:rsidP="000142A8">
          <w:pPr>
            <w:rPr>
              <w:b/>
              <w:color w:val="FF0000"/>
            </w:rPr>
          </w:pPr>
        </w:p>
        <w:p w14:paraId="20BC0B49" w14:textId="6ED36F61" w:rsidR="003F1667" w:rsidRPr="00891B32" w:rsidRDefault="00094574" w:rsidP="000142A8">
          <w:pPr>
            <w:rPr>
              <w:b/>
              <w:color w:val="FF0000"/>
            </w:rPr>
          </w:pPr>
          <w:r w:rsidRPr="00094574">
            <w:rPr>
              <w:b/>
            </w:rPr>
            <w:t>04102023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107B6600" w:rsidR="00C80877" w:rsidRPr="00667A39" w:rsidRDefault="00094574"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52B35571" w:rsidR="003F1667" w:rsidRPr="00667A39" w:rsidRDefault="00094574" w:rsidP="003F1667">
          <w:pPr>
            <w:rPr>
              <w:b/>
            </w:rPr>
          </w:pPr>
          <w:r>
            <w:rPr>
              <w:b/>
            </w:rPr>
            <w:t>05/05/2023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35A3A58B" w14:textId="77777777" w:rsidR="00667A39" w:rsidRDefault="00094574" w:rsidP="00C80877">
          <w:pPr>
            <w:ind w:right="-720"/>
            <w:rPr>
              <w:b/>
            </w:rPr>
          </w:pPr>
          <w:r>
            <w:rPr>
              <w:b/>
            </w:rPr>
            <w:t>Investment Advisory/Management</w:t>
          </w:r>
        </w:p>
        <w:p w14:paraId="60482ECA" w14:textId="280FE3C8" w:rsidR="00094574" w:rsidRPr="00667A39" w:rsidRDefault="00094574" w:rsidP="00C80877">
          <w:pPr>
            <w:ind w:right="-720"/>
            <w:rPr>
              <w:b/>
            </w:rPr>
          </w:pPr>
          <w:r>
            <w:rPr>
              <w:b/>
            </w:rPr>
            <w:t>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4574"/>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2023-04-10T18:45:00Z</dcterms:created>
  <dcterms:modified xsi:type="dcterms:W3CDTF">2023-04-10T18:45:00Z</dcterms:modified>
</cp:coreProperties>
</file>