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6F0CB2F5" w:rsidR="00A87649" w:rsidRPr="00A41A5A" w:rsidRDefault="009A2592" w:rsidP="0047498B">
      <w:pPr>
        <w:pStyle w:val="Title"/>
        <w:shd w:val="clear" w:color="auto" w:fill="BFBFBF" w:themeFill="background1" w:themeFillShade="BF"/>
        <w:rPr>
          <w:rStyle w:val="Hyperlink"/>
          <w:rFonts w:ascii="Myriad" w:hAnsi="Myriad"/>
          <w:b/>
          <w:bCs/>
          <w:color w:val="auto"/>
          <w:sz w:val="24"/>
          <w:u w:val="none"/>
        </w:rPr>
      </w:pPr>
      <w:bookmarkStart w:id="0" w:name="_Toc171422002"/>
      <w:r>
        <w:rPr>
          <w:rStyle w:val="Hyperlink"/>
          <w:rFonts w:ascii="Myriad" w:hAnsi="Myriad"/>
          <w:b/>
          <w:bCs/>
          <w:color w:val="auto"/>
          <w:sz w:val="24"/>
          <w:u w:val="none"/>
        </w:rPr>
        <w:t>Request for Proposal</w:t>
      </w:r>
      <w:r w:rsidR="004F2C54" w:rsidRPr="00A41A5A">
        <w:rPr>
          <w:rStyle w:val="Hyperlink"/>
          <w:rFonts w:ascii="Myriad" w:hAnsi="Myriad"/>
          <w:b/>
          <w:bCs/>
          <w:color w:val="auto"/>
          <w:sz w:val="24"/>
          <w:u w:val="none"/>
        </w:rPr>
        <w:t xml:space="preserve">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71358493" w14:textId="3867ADF2" w:rsidR="002F1CE7" w:rsidRPr="00B14434" w:rsidRDefault="001F2DBB" w:rsidP="00B14434">
          <w:pPr>
            <w:pStyle w:val="TOC1"/>
            <w:rPr>
              <w:rFonts w:asciiTheme="minorHAnsi" w:eastAsiaTheme="minorEastAsia" w:hAnsiTheme="minorHAnsi" w:cstheme="minorBidi"/>
              <w:kern w:val="2"/>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71502160" w:history="1">
            <w:r w:rsidR="002F1CE7" w:rsidRPr="00B14434">
              <w:rPr>
                <w:rStyle w:val="Hyperlink"/>
                <w:sz w:val="20"/>
              </w:rPr>
              <w:t xml:space="preserve">Bid Sheet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_Toc171502160 \h </w:instrText>
            </w:r>
            <w:r w:rsidR="002F1CE7" w:rsidRPr="00B14434">
              <w:rPr>
                <w:webHidden/>
              </w:rPr>
            </w:r>
            <w:r w:rsidR="002F1CE7" w:rsidRPr="00B14434">
              <w:rPr>
                <w:webHidden/>
              </w:rPr>
              <w:fldChar w:fldCharType="separate"/>
            </w:r>
            <w:r w:rsidR="002F1CE7" w:rsidRPr="00B14434">
              <w:rPr>
                <w:webHidden/>
              </w:rPr>
              <w:t>1</w:t>
            </w:r>
            <w:r w:rsidR="002F1CE7" w:rsidRPr="00B14434">
              <w:rPr>
                <w:webHidden/>
              </w:rPr>
              <w:fldChar w:fldCharType="end"/>
            </w:r>
          </w:hyperlink>
        </w:p>
        <w:p w14:paraId="2D2BF430" w14:textId="6BCC5FF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1" w:history="1">
            <w:r w:rsidRPr="00B14434">
              <w:rPr>
                <w:rStyle w:val="Hyperlink"/>
                <w:sz w:val="20"/>
              </w:rPr>
              <w:t>Standard Terms and Conditions</w:t>
            </w:r>
            <w:r w:rsidRPr="00B14434">
              <w:rPr>
                <w:webHidden/>
              </w:rPr>
              <w:tab/>
            </w:r>
            <w:r w:rsidRPr="00B14434">
              <w:rPr>
                <w:webHidden/>
              </w:rPr>
              <w:fldChar w:fldCharType="begin"/>
            </w:r>
            <w:r w:rsidRPr="00B14434">
              <w:rPr>
                <w:webHidden/>
              </w:rPr>
              <w:instrText xml:space="preserve"> PAGEREF _Toc171502161 \h </w:instrText>
            </w:r>
            <w:r w:rsidRPr="00B14434">
              <w:rPr>
                <w:webHidden/>
              </w:rPr>
            </w:r>
            <w:r w:rsidRPr="00B14434">
              <w:rPr>
                <w:webHidden/>
              </w:rPr>
              <w:fldChar w:fldCharType="separate"/>
            </w:r>
            <w:r w:rsidRPr="00B14434">
              <w:rPr>
                <w:webHidden/>
              </w:rPr>
              <w:t>3</w:t>
            </w:r>
            <w:r w:rsidRPr="00B14434">
              <w:rPr>
                <w:webHidden/>
              </w:rPr>
              <w:fldChar w:fldCharType="end"/>
            </w:r>
          </w:hyperlink>
        </w:p>
        <w:p w14:paraId="0A43A7CA" w14:textId="116B46BB"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2" w:history="1">
            <w:r w:rsidRPr="00B14434">
              <w:rPr>
                <w:rStyle w:val="Hyperlink"/>
                <w:sz w:val="20"/>
              </w:rPr>
              <w:t>General Campus Background for University of Arkansas</w:t>
            </w:r>
            <w:r w:rsidRPr="00B14434">
              <w:rPr>
                <w:webHidden/>
              </w:rPr>
              <w:tab/>
            </w:r>
            <w:r w:rsidRPr="00B14434">
              <w:rPr>
                <w:webHidden/>
              </w:rPr>
              <w:fldChar w:fldCharType="begin"/>
            </w:r>
            <w:r w:rsidRPr="00B14434">
              <w:rPr>
                <w:webHidden/>
              </w:rPr>
              <w:instrText xml:space="preserve"> PAGEREF _Toc171502162 \h </w:instrText>
            </w:r>
            <w:r w:rsidRPr="00B14434">
              <w:rPr>
                <w:webHidden/>
              </w:rPr>
            </w:r>
            <w:r w:rsidRPr="00B14434">
              <w:rPr>
                <w:webHidden/>
              </w:rPr>
              <w:fldChar w:fldCharType="separate"/>
            </w:r>
            <w:r w:rsidRPr="00B14434">
              <w:rPr>
                <w:webHidden/>
              </w:rPr>
              <w:t>6</w:t>
            </w:r>
            <w:r w:rsidRPr="00B14434">
              <w:rPr>
                <w:webHidden/>
              </w:rPr>
              <w:fldChar w:fldCharType="end"/>
            </w:r>
          </w:hyperlink>
        </w:p>
        <w:p w14:paraId="60889565" w14:textId="501E9CE2"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3" w:history="1">
            <w:r w:rsidRPr="00B14434">
              <w:rPr>
                <w:rStyle w:val="Hyperlink"/>
                <w:sz w:val="20"/>
              </w:rPr>
              <w:t xml:space="preserve">Minority and Women-Owned Business Reporting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_Toc171502163 \h </w:instrText>
            </w:r>
            <w:r w:rsidRPr="00B14434">
              <w:rPr>
                <w:webHidden/>
              </w:rPr>
            </w:r>
            <w:r w:rsidRPr="00B14434">
              <w:rPr>
                <w:webHidden/>
              </w:rPr>
              <w:fldChar w:fldCharType="separate"/>
            </w:r>
            <w:r w:rsidRPr="00B14434">
              <w:rPr>
                <w:webHidden/>
              </w:rPr>
              <w:t>11</w:t>
            </w:r>
            <w:r w:rsidRPr="00B14434">
              <w:rPr>
                <w:webHidden/>
              </w:rPr>
              <w:fldChar w:fldCharType="end"/>
            </w:r>
          </w:hyperlink>
        </w:p>
        <w:p w14:paraId="72D8398D" w14:textId="27AB0CD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4" w:history="1">
            <w:r w:rsidRPr="00B14434">
              <w:rPr>
                <w:rStyle w:val="Hyperlink"/>
                <w:sz w:val="20"/>
              </w:rPr>
              <w:t xml:space="preserve">Equal Opportunity Policy Requirement for Contractors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_Toc171502164 \h </w:instrText>
            </w:r>
            <w:r w:rsidRPr="00B14434">
              <w:rPr>
                <w:webHidden/>
              </w:rPr>
            </w:r>
            <w:r w:rsidRPr="00B14434">
              <w:rPr>
                <w:webHidden/>
              </w:rPr>
              <w:fldChar w:fldCharType="separate"/>
            </w:r>
            <w:r w:rsidRPr="00B14434">
              <w:rPr>
                <w:webHidden/>
              </w:rPr>
              <w:t>12</w:t>
            </w:r>
            <w:r w:rsidRPr="00B14434">
              <w:rPr>
                <w:webHidden/>
              </w:rPr>
              <w:fldChar w:fldCharType="end"/>
            </w:r>
          </w:hyperlink>
        </w:p>
        <w:p w14:paraId="6C24CBB5" w14:textId="5070A2C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5" w:history="1">
            <w:r w:rsidRPr="00B14434">
              <w:rPr>
                <w:rStyle w:val="Hyperlink"/>
                <w:sz w:val="20"/>
              </w:rPr>
              <w:t xml:space="preserve">Bidder Conflict of Interest Form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_Toc171502165 \h </w:instrText>
            </w:r>
            <w:r w:rsidRPr="00B14434">
              <w:rPr>
                <w:webHidden/>
              </w:rPr>
            </w:r>
            <w:r w:rsidRPr="00B14434">
              <w:rPr>
                <w:webHidden/>
              </w:rPr>
              <w:fldChar w:fldCharType="separate"/>
            </w:r>
            <w:r w:rsidRPr="00B14434">
              <w:rPr>
                <w:webHidden/>
              </w:rPr>
              <w:t>13</w:t>
            </w:r>
            <w:r w:rsidRPr="00B14434">
              <w:rPr>
                <w:webHidden/>
              </w:rPr>
              <w:fldChar w:fldCharType="end"/>
            </w:r>
          </w:hyperlink>
        </w:p>
        <w:p w14:paraId="5AA7D7C3" w14:textId="6870AE67"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6" w:history="1">
            <w:r w:rsidRPr="00B14434">
              <w:rPr>
                <w:rStyle w:val="Hyperlink"/>
                <w:sz w:val="20"/>
              </w:rPr>
              <w:t xml:space="preserve">Combined Certification for Contracting with the State of Arkansas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_Toc171502166 \h </w:instrText>
            </w:r>
            <w:r w:rsidRPr="00B14434">
              <w:rPr>
                <w:webHidden/>
              </w:rPr>
            </w:r>
            <w:r w:rsidRPr="00B14434">
              <w:rPr>
                <w:webHidden/>
              </w:rPr>
              <w:fldChar w:fldCharType="separate"/>
            </w:r>
            <w:r w:rsidRPr="00B14434">
              <w:rPr>
                <w:webHidden/>
              </w:rPr>
              <w:t>14</w:t>
            </w:r>
            <w:r w:rsidRPr="00B14434">
              <w:rPr>
                <w:webHidden/>
              </w:rPr>
              <w:fldChar w:fldCharType="end"/>
            </w:r>
          </w:hyperlink>
        </w:p>
        <w:p w14:paraId="740D3B2A" w14:textId="4F211EF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7" w:history="1">
            <w:r w:rsidRPr="00B14434">
              <w:rPr>
                <w:rStyle w:val="Hyperlink"/>
                <w:rFonts w:eastAsia="Arial"/>
                <w:sz w:val="20"/>
              </w:rPr>
              <w:t xml:space="preserve">Contract and Grant Disclosure and Certification Form | </w:t>
            </w:r>
            <w:r w:rsidRPr="00B14434">
              <w:rPr>
                <w:rStyle w:val="Hyperlink"/>
                <w:rFonts w:eastAsia="Arial"/>
                <w:i/>
                <w:iCs/>
                <w:sz w:val="20"/>
              </w:rPr>
              <w:t>Signature Required</w:t>
            </w:r>
            <w:r w:rsidRPr="00B14434">
              <w:rPr>
                <w:webHidden/>
              </w:rPr>
              <w:tab/>
            </w:r>
            <w:r w:rsidRPr="00B14434">
              <w:rPr>
                <w:webHidden/>
              </w:rPr>
              <w:fldChar w:fldCharType="begin"/>
            </w:r>
            <w:r w:rsidRPr="00B14434">
              <w:rPr>
                <w:webHidden/>
              </w:rPr>
              <w:instrText xml:space="preserve"> PAGEREF _Toc171502167 \h </w:instrText>
            </w:r>
            <w:r w:rsidRPr="00B14434">
              <w:rPr>
                <w:webHidden/>
              </w:rPr>
            </w:r>
            <w:r w:rsidRPr="00B14434">
              <w:rPr>
                <w:webHidden/>
              </w:rPr>
              <w:fldChar w:fldCharType="separate"/>
            </w:r>
            <w:r w:rsidRPr="00B14434">
              <w:rPr>
                <w:webHidden/>
              </w:rPr>
              <w:t>15</w:t>
            </w:r>
            <w:r w:rsidRPr="00B14434">
              <w:rPr>
                <w:webHidden/>
              </w:rPr>
              <w:fldChar w:fldCharType="end"/>
            </w:r>
          </w:hyperlink>
        </w:p>
        <w:p w14:paraId="2B2E865A" w14:textId="3AA3A69B" w:rsidR="001F2DBB" w:rsidRDefault="001F2DBB" w:rsidP="00DC2334">
          <w:r>
            <w:rPr>
              <w:b/>
              <w:bCs/>
              <w:noProof/>
            </w:rPr>
            <w:fldChar w:fldCharType="end"/>
          </w:r>
        </w:p>
      </w:sdtContent>
    </w:sdt>
    <w:p w14:paraId="3BE3EE94" w14:textId="3F625FE4" w:rsidR="00C47C3C" w:rsidRDefault="009A2592" w:rsidP="0035182E">
      <w:pPr>
        <w:pStyle w:val="Heading1"/>
      </w:pPr>
      <w:bookmarkStart w:id="1" w:name="_Toc171502160"/>
      <w:r>
        <w:t>Bid</w:t>
      </w:r>
      <w:r w:rsidR="008F524C">
        <w:t xml:space="preserve"> Sheet | </w:t>
      </w:r>
      <w:r w:rsidR="008F524C" w:rsidRPr="00982116">
        <w:rPr>
          <w:i/>
          <w:iCs/>
        </w:rPr>
        <w:t>Signature Required</w:t>
      </w:r>
      <w:bookmarkEnd w:id="1"/>
      <w:r w:rsidR="008F524C">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6F3100B" w:rsidR="00653B47" w:rsidRPr="00982116" w:rsidRDefault="009A2592" w:rsidP="00B56E2B">
            <w:pPr>
              <w:rPr>
                <w:sz w:val="21"/>
                <w:szCs w:val="21"/>
              </w:rPr>
            </w:pPr>
            <w:r>
              <w:rPr>
                <w:sz w:val="21"/>
                <w:szCs w:val="21"/>
              </w:rPr>
              <w:t>RFP</w:t>
            </w:r>
            <w:r w:rsidR="00653B47" w:rsidRPr="00982116">
              <w:rPr>
                <w:sz w:val="21"/>
                <w:szCs w:val="21"/>
              </w:rPr>
              <w:t xml:space="preserve"> Number</w:t>
            </w:r>
          </w:p>
        </w:tc>
      </w:tr>
      <w:tr w:rsidR="00653B47" w:rsidRPr="00982116" w14:paraId="12E62DC8" w14:textId="7D0379DB" w:rsidTr="007B4062">
        <w:tc>
          <w:tcPr>
            <w:tcW w:w="399" w:type="pct"/>
          </w:tcPr>
          <w:p w14:paraId="3D24592D" w14:textId="0060BB37" w:rsidR="00653B47" w:rsidRPr="00982116" w:rsidRDefault="004D6825" w:rsidP="00B56E2B">
            <w:pPr>
              <w:rPr>
                <w:sz w:val="21"/>
                <w:szCs w:val="21"/>
              </w:rPr>
            </w:pPr>
            <w:r>
              <w:rPr>
                <w:sz w:val="21"/>
                <w:szCs w:val="21"/>
              </w:rPr>
              <w:t>VCFA</w:t>
            </w:r>
          </w:p>
        </w:tc>
        <w:tc>
          <w:tcPr>
            <w:tcW w:w="1268" w:type="pct"/>
          </w:tcPr>
          <w:p w14:paraId="367DF91A" w14:textId="067CEFBF" w:rsidR="00653B47" w:rsidRPr="00982116" w:rsidRDefault="004D6825" w:rsidP="00B56E2B">
            <w:pPr>
              <w:rPr>
                <w:sz w:val="21"/>
                <w:szCs w:val="21"/>
              </w:rPr>
            </w:pPr>
            <w:r>
              <w:rPr>
                <w:sz w:val="21"/>
                <w:szCs w:val="21"/>
              </w:rPr>
              <w:t>Ellen Ferguson</w:t>
            </w:r>
          </w:p>
        </w:tc>
        <w:tc>
          <w:tcPr>
            <w:tcW w:w="919" w:type="pct"/>
          </w:tcPr>
          <w:p w14:paraId="19CA278D" w14:textId="758D6E05" w:rsidR="00653B47" w:rsidRPr="00982116" w:rsidRDefault="004D6825" w:rsidP="00B56E2B">
            <w:pPr>
              <w:rPr>
                <w:sz w:val="21"/>
                <w:szCs w:val="21"/>
              </w:rPr>
            </w:pPr>
            <w:r>
              <w:rPr>
                <w:sz w:val="21"/>
                <w:szCs w:val="21"/>
              </w:rPr>
              <w:t>04/</w:t>
            </w:r>
            <w:r w:rsidR="00426DEF">
              <w:rPr>
                <w:sz w:val="21"/>
                <w:szCs w:val="21"/>
              </w:rPr>
              <w:t>07/2025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3024ACF7" w:rsidR="00653B47" w:rsidRPr="00982116" w:rsidRDefault="00426DEF" w:rsidP="00B56E2B">
            <w:pPr>
              <w:rPr>
                <w:sz w:val="21"/>
                <w:szCs w:val="21"/>
              </w:rPr>
            </w:pPr>
            <w:r>
              <w:rPr>
                <w:sz w:val="21"/>
                <w:szCs w:val="21"/>
              </w:rPr>
              <w:t>02242025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982116" w:rsidRDefault="0082577A" w:rsidP="00B56E2B">
            <w:pPr>
              <w:rPr>
                <w:sz w:val="21"/>
                <w:szCs w:val="21"/>
              </w:rPr>
            </w:pPr>
            <w:r w:rsidRPr="00982116">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58716349" w:rsidR="0082577A" w:rsidRPr="00982116" w:rsidRDefault="00426DEF" w:rsidP="00B56E2B">
            <w:pPr>
              <w:rPr>
                <w:sz w:val="21"/>
                <w:szCs w:val="21"/>
              </w:rPr>
            </w:pPr>
            <w:r>
              <w:rPr>
                <w:sz w:val="21"/>
                <w:szCs w:val="21"/>
              </w:rPr>
              <w:t>Human Resources Talent Management Consulting</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71502161"/>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1165BBA9" w14:textId="36FB831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Additionally, Minority and Women-Owned businesses are encouraged to take the following steps for proper verification and identification through the Arkansas Office of State Procurement and Arkansas Economic Development Commission:</w:t>
      </w:r>
      <w:r w:rsidR="00713CCA" w:rsidRPr="00C6049D">
        <w:rPr>
          <w:rFonts w:ascii="Minion" w:hAnsi="Minion"/>
        </w:rPr>
        <w:t xml:space="preserve"> </w:t>
      </w:r>
      <w:r w:rsidR="00CD7715" w:rsidRPr="00C6049D">
        <w:rPr>
          <w:rFonts w:ascii="Minion" w:hAnsi="Minion"/>
        </w:rPr>
        <w:t>(</w:t>
      </w:r>
      <w:r w:rsidR="00DF4445" w:rsidRPr="00C6049D">
        <w:rPr>
          <w:rFonts w:ascii="Minion" w:hAnsi="Minion"/>
        </w:rPr>
        <w:t>1</w:t>
      </w:r>
      <w:r w:rsidR="00CD7715" w:rsidRPr="00C6049D">
        <w:rPr>
          <w:rFonts w:ascii="Minion" w:hAnsi="Minion"/>
        </w:rPr>
        <w:t xml:space="preserve">) </w:t>
      </w:r>
      <w:r w:rsidRPr="00484EEA">
        <w:rPr>
          <w:rFonts w:ascii="Minion" w:hAnsi="Minion"/>
          <w:b/>
          <w:bCs/>
        </w:rPr>
        <w:t>Register</w:t>
      </w:r>
      <w:r w:rsidRPr="00C6049D">
        <w:rPr>
          <w:rFonts w:ascii="Minion" w:hAnsi="Minion"/>
        </w:rPr>
        <w:t xml:space="preserve"> through the state of Arkansas Office of State Procurement (OSP) to receive an AASIS vendor ID#</w:t>
      </w:r>
      <w:r w:rsidR="00CD7715" w:rsidRPr="00C6049D">
        <w:rPr>
          <w:rFonts w:ascii="Minion" w:hAnsi="Minion"/>
        </w:rPr>
        <w:t>, (</w:t>
      </w:r>
      <w:r w:rsidR="00DF4445" w:rsidRPr="00C6049D">
        <w:rPr>
          <w:rFonts w:ascii="Minion" w:hAnsi="Minion"/>
        </w:rPr>
        <w:t>2</w:t>
      </w:r>
      <w:r w:rsidR="00CD7715" w:rsidRPr="00C6049D">
        <w:rPr>
          <w:rFonts w:ascii="Minion" w:hAnsi="Minion"/>
        </w:rPr>
        <w:t xml:space="preserve">) </w:t>
      </w:r>
      <w:r w:rsidRPr="00484EEA">
        <w:rPr>
          <w:rFonts w:ascii="Minion" w:hAnsi="Minion"/>
          <w:b/>
          <w:bCs/>
        </w:rPr>
        <w:t>Submit</w:t>
      </w:r>
      <w:r w:rsidRPr="00C6049D">
        <w:rPr>
          <w:rFonts w:ascii="Minion" w:hAnsi="Minion"/>
        </w:rPr>
        <w:t xml:space="preserve"> your business to the Arkansas Economic Development Commission (AEDC) online searchable directory</w:t>
      </w:r>
      <w:r w:rsidR="00CD7715" w:rsidRPr="00C6049D">
        <w:rPr>
          <w:rFonts w:ascii="Minion" w:hAnsi="Minion"/>
        </w:rPr>
        <w:t xml:space="preserve">, </w:t>
      </w:r>
      <w:r w:rsidR="00DF4445" w:rsidRPr="00C6049D">
        <w:rPr>
          <w:rFonts w:ascii="Minion" w:hAnsi="Minion"/>
        </w:rPr>
        <w:t xml:space="preserve">and </w:t>
      </w:r>
      <w:r w:rsidR="00CD013C" w:rsidRPr="00C6049D">
        <w:rPr>
          <w:rFonts w:ascii="Minion" w:hAnsi="Minion"/>
        </w:rPr>
        <w:t>(</w:t>
      </w:r>
      <w:r w:rsidR="00DF4445" w:rsidRPr="00C6049D">
        <w:rPr>
          <w:rFonts w:ascii="Minion" w:hAnsi="Minion"/>
        </w:rPr>
        <w:t>3</w:t>
      </w:r>
      <w:r w:rsidR="00CD013C" w:rsidRPr="00C6049D">
        <w:rPr>
          <w:rFonts w:ascii="Minion" w:hAnsi="Minion"/>
        </w:rPr>
        <w:t xml:space="preserve">) </w:t>
      </w:r>
      <w:r w:rsidRPr="00484EEA">
        <w:rPr>
          <w:rFonts w:ascii="Minion" w:hAnsi="Minion"/>
          <w:b/>
          <w:bCs/>
        </w:rPr>
        <w:t>Certify</w:t>
      </w:r>
      <w:r w:rsidRPr="00C6049D">
        <w:rPr>
          <w:rFonts w:ascii="Minion" w:hAnsi="Minion"/>
        </w:rPr>
        <w:t xml:space="preserve"> your business through AEDC (</w:t>
      </w:r>
      <w:r w:rsidR="00685C07" w:rsidRPr="00C6049D">
        <w:rPr>
          <w:rFonts w:ascii="Minion" w:hAnsi="Minion"/>
        </w:rPr>
        <w:t>optional but</w:t>
      </w:r>
      <w:r w:rsidRPr="00C6049D">
        <w:rPr>
          <w:rFonts w:ascii="Minion" w:hAnsi="Minion"/>
        </w:rPr>
        <w:t xml:space="preserve"> requires AASIS ID)</w:t>
      </w:r>
      <w:r w:rsidR="00873B42" w:rsidRPr="00C6049D">
        <w:rPr>
          <w:rFonts w:ascii="Minion" w:hAnsi="Minion"/>
        </w:rPr>
        <w:t>.</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w:t>
      </w:r>
      <w:r w:rsidRPr="00C6049D">
        <w:rPr>
          <w:rFonts w:ascii="Minion" w:hAnsi="Minion"/>
        </w:rPr>
        <w:lastRenderedPageBreak/>
        <w:t>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If a contract is canceled due to a request for increase in prices or failure to perform, that Supplier shall be 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71502162"/>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8A0D30">
        <w:rPr>
          <w:b/>
          <w:bCs/>
          <w:u w:val="single"/>
        </w:rPr>
        <w:t>If submitting a redacted copy, see the following section</w:t>
      </w:r>
      <w:r w:rsidR="00193EB4" w:rsidRPr="006E40FA">
        <w:t>.</w:t>
      </w:r>
    </w:p>
    <w:p w14:paraId="7E4DDB93" w14:textId="77777777" w:rsidR="00EF2711" w:rsidRPr="006E40FA" w:rsidRDefault="00EF2711" w:rsidP="0001541B">
      <w:pPr>
        <w:spacing w:line="360" w:lineRule="auto"/>
      </w:pPr>
    </w:p>
    <w:p w14:paraId="08914907" w14:textId="4C1FA55F" w:rsidR="00C57846" w:rsidRPr="0045031F" w:rsidRDefault="00276848" w:rsidP="00083B91">
      <w:pPr>
        <w:rPr>
          <w:b/>
          <w:bCs/>
        </w:rPr>
      </w:pPr>
      <w:r w:rsidRPr="0045031F">
        <w:rPr>
          <w:b/>
          <w:bCs/>
        </w:rPr>
        <w:t>Required Additional Redacted Copy</w:t>
      </w:r>
    </w:p>
    <w:p w14:paraId="40ED1813" w14:textId="2928AE70" w:rsidR="004F4951" w:rsidRPr="006E40FA" w:rsidRDefault="00E569CD" w:rsidP="00B56E2B">
      <w:r w:rsidRPr="008A0D30">
        <w:rPr>
          <w:b/>
          <w:bCs/>
        </w:rPr>
        <w:t>IF</w:t>
      </w:r>
      <w:r w:rsidRPr="006E40FA">
        <w:t xml:space="preserve"> submitting p</w:t>
      </w:r>
      <w:r w:rsidR="004F4951" w:rsidRPr="006E40FA">
        <w:t xml:space="preserve">roprietary information in response to this </w:t>
      </w:r>
      <w:r w:rsidR="00280400">
        <w:t>RFP</w:t>
      </w:r>
      <w:r w:rsidR="00246449" w:rsidRPr="006E40FA">
        <w:t>, it</w:t>
      </w:r>
      <w:r w:rsidR="004F4951" w:rsidRPr="006E40FA">
        <w:t xml:space="preserve"> will be processed in accordance with applicable State of Arkansas procurement law. </w:t>
      </w:r>
      <w:r w:rsidR="00836FA9" w:rsidRPr="006E40FA">
        <w:t xml:space="preserve">Documents pertaining to the </w:t>
      </w:r>
      <w:r w:rsidR="00280400">
        <w:t>RFP</w:t>
      </w:r>
      <w:r w:rsidR="00836FA9" w:rsidRPr="006E40FA">
        <w:t xml:space="preserve"> become the property of UA and shall be open to public inspection after a notice of intent to award is formally announced.</w:t>
      </w:r>
      <w:r w:rsidR="004F4951" w:rsidRPr="006E40FA">
        <w:t xml:space="preserve"> </w:t>
      </w:r>
    </w:p>
    <w:p w14:paraId="71594630" w14:textId="77777777" w:rsidR="00E16768" w:rsidRPr="006E40FA" w:rsidRDefault="00E16768" w:rsidP="0001541B">
      <w:pPr>
        <w:spacing w:line="360" w:lineRule="auto"/>
      </w:pPr>
    </w:p>
    <w:p w14:paraId="3395B0C3" w14:textId="199C1D36" w:rsidR="004F4951" w:rsidRPr="006E40FA" w:rsidRDefault="00C270E7" w:rsidP="00B56E2B">
      <w:r w:rsidRPr="006E40FA">
        <w:t xml:space="preserve">It is the responsibility of the Respondent to identify all proprietary information included in their bid Proposal. </w:t>
      </w:r>
      <w:r w:rsidR="00E57DD9" w:rsidRPr="006E40FA">
        <w:t>The respondent shall submit one (1) separate digital copy of the bid from which any proprietary information has been removed, i.e., a redacted copy (marked “REDACTED COPY”)</w:t>
      </w:r>
      <w:r w:rsidR="00794694" w:rsidRPr="006E40FA">
        <w:t xml:space="preserve">. </w:t>
      </w:r>
      <w:r w:rsidR="008A0D30" w:rsidRPr="00B6347A">
        <w:rPr>
          <w:rFonts w:ascii="Times New Roman" w:hAnsi="Times New Roman"/>
          <w:b/>
          <w:bCs/>
          <w:highlight w:val="yellow"/>
          <w:u w:val="single"/>
        </w:rPr>
        <w:t>NOTE</w:t>
      </w:r>
      <w:r w:rsidR="008A0D30">
        <w:rPr>
          <w:rFonts w:ascii="Times New Roman" w:hAnsi="Times New Roman"/>
          <w:b/>
          <w:bCs/>
          <w:highlight w:val="yellow"/>
          <w:u w:val="single"/>
        </w:rPr>
        <w:t>: T</w:t>
      </w:r>
      <w:r w:rsidR="008A0D30" w:rsidRPr="00B6347A">
        <w:rPr>
          <w:rFonts w:ascii="Times New Roman" w:hAnsi="Times New Roman"/>
          <w:b/>
          <w:bCs/>
          <w:highlight w:val="yellow"/>
          <w:u w:val="single"/>
        </w:rPr>
        <w:t>here are SEPARATE repositories – the redacted copy is to be submitted in the repository titled “Upload redacted/proprietary bid documents”</w:t>
      </w:r>
      <w:r w:rsidR="008A0D30" w:rsidRPr="00B6347A">
        <w:rPr>
          <w:rFonts w:ascii="Times New Roman" w:hAnsi="Times New Roman"/>
          <w:b/>
          <w:bCs/>
          <w:highlight w:val="yellow"/>
        </w:rPr>
        <w:t>.</w:t>
      </w:r>
      <w:r w:rsidR="008A0D30">
        <w:rPr>
          <w:rFonts w:ascii="Times New Roman" w:hAnsi="Times New Roman"/>
        </w:rPr>
        <w:t xml:space="preserve"> </w:t>
      </w:r>
      <w:r w:rsidRPr="006E40FA">
        <w:t>The redacted copy should reflect the same pagination as the original, show the empty space from which information was redacted, and should be submitted on a flash drive, preferably in a PDF format. Except for the redacted information, the redacted copy must be identical to the original copy submitted for the bid Proposal to be considered</w:t>
      </w:r>
      <w:r w:rsidR="00794694" w:rsidRPr="006E40FA">
        <w:t xml:space="preserve">. </w:t>
      </w:r>
      <w:r w:rsidRPr="006E40FA">
        <w:t>The Respondent is responsible for ensuring the redacted copy is protected against restoration of redacted data</w:t>
      </w:r>
      <w:r w:rsidR="00794694" w:rsidRPr="006E40FA">
        <w:t xml:space="preserve">. </w:t>
      </w:r>
      <w:r w:rsidRPr="006E40FA">
        <w:t>The redacted copy may be open to public inspection under the Freedom of Information Act (“FOIA”) without further notice to the Respondent after a notice of intent to award is formally announced</w:t>
      </w:r>
      <w:r w:rsidR="00794694" w:rsidRPr="006E40FA">
        <w:t xml:space="preserve">. </w:t>
      </w:r>
      <w:r w:rsidRPr="006E40FA">
        <w:t>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4354AD7C" w14:textId="195F9D9C" w:rsidR="00296286" w:rsidRDefault="00296286" w:rsidP="00B56E2B">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rsidR="00D73B1B">
        <w:t>identifi</w:t>
      </w:r>
      <w:r w:rsidRPr="006E40FA">
        <w:t xml:space="preserve">ed as such and submitted </w:t>
      </w:r>
      <w:r w:rsidR="00BC1E79">
        <w:t>separately</w:t>
      </w:r>
      <w:r w:rsidR="00D73B1B">
        <w:t xml:space="preserve"> into the proper portal</w:t>
      </w:r>
      <w:r w:rsidR="00245B6C">
        <w:t>,</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21D7F62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245B6C">
        <w:t>ubmitted</w:t>
      </w:r>
      <w:r w:rsidRPr="006E40FA">
        <w:t xml:space="preserve">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lastRenderedPageBreak/>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If an agency 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lastRenderedPageBreak/>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E807333" w14:textId="6714C39E" w:rsidR="00B13168" w:rsidRPr="005F073A" w:rsidRDefault="0032590D" w:rsidP="00B56E2B">
      <w:r w:rsidRPr="00EB2BD9">
        <w:t>All State of Arkansas electronic and information technology purchases must be accessible as specified by</w:t>
      </w:r>
      <w:r w:rsidR="005F073A">
        <w:t xml:space="preserve"> Arkansas Act 1227 Amended by Act 308.</w:t>
      </w:r>
      <w:r w:rsidR="00FE3946">
        <w:t xml:space="preserve"> </w:t>
      </w:r>
      <w:hyperlink r:id="rId9" w:history="1">
        <w:r w:rsidR="00FE3946" w:rsidRPr="00FE3946">
          <w:rPr>
            <w:rStyle w:val="Hyperlink"/>
          </w:rPr>
          <w:t>Technology Access Clause</w:t>
        </w:r>
      </w:hyperlink>
    </w:p>
    <w:p w14:paraId="60F68D01" w14:textId="77777777" w:rsidR="005F073A" w:rsidRPr="006E40FA" w:rsidRDefault="005F073A" w:rsidP="00B56E2B">
      <w:pPr>
        <w:rPr>
          <w:szCs w:val="22"/>
        </w:rPr>
      </w:pPr>
    </w:p>
    <w:p w14:paraId="40D03F99" w14:textId="6DBFB8F7" w:rsidR="0032590D" w:rsidRDefault="00AD654A" w:rsidP="00B56E2B">
      <w:r w:rsidRPr="00EB2BD9">
        <w:t>A blank copy of the Voluntary Product Accessibility Template (VPAT) form is available here:</w:t>
      </w:r>
      <w:r w:rsidR="00F01EC3" w:rsidRPr="00EB2BD9">
        <w:t xml:space="preserve"> </w:t>
      </w:r>
      <w:hyperlink r:id="rId10" w:history="1">
        <w:r w:rsidR="00FE3946" w:rsidRPr="00BE6A61">
          <w:rPr>
            <w:rStyle w:val="Hyperlink"/>
          </w:rPr>
          <w:t>https://procurement.uark.edu/forms.php</w:t>
        </w:r>
      </w:hyperlink>
      <w:r w:rsidR="00FE3946">
        <w:t xml:space="preserve"> </w:t>
      </w:r>
    </w:p>
    <w:p w14:paraId="07B3F44C" w14:textId="77777777" w:rsidR="00FE3946" w:rsidRPr="006E40FA" w:rsidRDefault="00FE3946"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77777777" w:rsidR="00750C20" w:rsidRPr="0045031F" w:rsidRDefault="00985C18" w:rsidP="005572DE">
      <w:pPr>
        <w:rPr>
          <w:b/>
          <w:bCs/>
        </w:rPr>
      </w:pPr>
      <w:r w:rsidRPr="0045031F">
        <w:rPr>
          <w:b/>
          <w:bCs/>
        </w:rPr>
        <w:t>Non-Discrimination and Affirmative Action</w:t>
      </w:r>
    </w:p>
    <w:p w14:paraId="2FCA612B" w14:textId="1AF9311F"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 and affirmative action.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lastRenderedPageBreak/>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D248BAE"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lastRenderedPageBreak/>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66A502E4" w14:textId="1CBEECC7" w:rsidR="00AD20D1" w:rsidRPr="00DC40DD" w:rsidRDefault="00AD20D1" w:rsidP="0035182E">
      <w:pPr>
        <w:pStyle w:val="Heading1"/>
        <w:rPr>
          <w:i/>
          <w:iCs/>
        </w:rPr>
      </w:pPr>
      <w:bookmarkStart w:id="4" w:name="_Toc171502163"/>
      <w:r w:rsidRPr="00DC40DD">
        <w:lastRenderedPageBreak/>
        <w:t>M</w:t>
      </w:r>
      <w:r w:rsidR="003805DB">
        <w:t>inority and</w:t>
      </w:r>
      <w:r w:rsidRPr="00DC40DD">
        <w:t xml:space="preserve"> W</w:t>
      </w:r>
      <w:r w:rsidR="003805DB">
        <w:t xml:space="preserve">omen-Owned </w:t>
      </w:r>
      <w:r w:rsidRPr="00DC40DD">
        <w:t>B</w:t>
      </w:r>
      <w:r w:rsidR="003805DB">
        <w:t>usiness</w:t>
      </w:r>
      <w:r w:rsidRPr="00DC40DD">
        <w:t xml:space="preserve"> R</w:t>
      </w:r>
      <w:r w:rsidR="003805DB">
        <w:t>eporting</w:t>
      </w:r>
      <w:r w:rsidR="00EF477C">
        <w:t xml:space="preserve"> | </w:t>
      </w:r>
      <w:r w:rsidR="00EF477C" w:rsidRPr="00CD60BE">
        <w:rPr>
          <w:i/>
          <w:iCs/>
        </w:rPr>
        <w:t xml:space="preserve">Signature </w:t>
      </w:r>
      <w:r w:rsidR="00291966">
        <w:rPr>
          <w:i/>
          <w:iCs/>
        </w:rPr>
        <w:t>Required</w:t>
      </w:r>
      <w:bookmarkEnd w:id="4"/>
    </w:p>
    <w:p w14:paraId="3FC03CE1" w14:textId="77777777" w:rsidR="00DC40DD" w:rsidRDefault="00DC40DD" w:rsidP="00B56E2B"/>
    <w:p w14:paraId="0DDA470B" w14:textId="0DBDA71A" w:rsidR="00AD20D1" w:rsidRPr="00DC40DD" w:rsidRDefault="00AD20D1" w:rsidP="00B56E2B">
      <w:pPr>
        <w:rPr>
          <w:szCs w:val="22"/>
        </w:rPr>
      </w:pPr>
      <w:r w:rsidRPr="00DC40DD">
        <w:rPr>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0582A92C" w14:textId="77777777" w:rsidR="00F92840" w:rsidRPr="00DC40DD" w:rsidRDefault="00F92840" w:rsidP="00B56E2B">
      <w:pPr>
        <w:rPr>
          <w:szCs w:val="22"/>
        </w:rPr>
      </w:pPr>
    </w:p>
    <w:p w14:paraId="7439C842" w14:textId="77777777" w:rsidR="004E2B91" w:rsidRPr="00DC40DD" w:rsidRDefault="00AD20D1" w:rsidP="00B56E2B">
      <w:pPr>
        <w:rPr>
          <w:szCs w:val="22"/>
        </w:rPr>
      </w:pPr>
      <w:r w:rsidRPr="00DC40DD">
        <w:rPr>
          <w:szCs w:val="22"/>
        </w:rPr>
        <w:t>Ten percent (10%) for minority business enterprises with two percent (2%) allocated for service-disabled veteran-owned minority business enterprises; and eight percent (8%) for all other minority business enterprises; and</w:t>
      </w:r>
      <w:r w:rsidR="000E5CD9" w:rsidRPr="00DC40DD">
        <w:rPr>
          <w:szCs w:val="22"/>
        </w:rPr>
        <w:t xml:space="preserve"> </w:t>
      </w:r>
      <w:r w:rsidRPr="00DC40DD">
        <w:rPr>
          <w:szCs w:val="22"/>
        </w:rPr>
        <w:t>Five percent (5%) for women-owned business enterprises</w:t>
      </w:r>
      <w:r w:rsidR="0014338E" w:rsidRPr="00DC40DD">
        <w:rPr>
          <w:szCs w:val="22"/>
        </w:rPr>
        <w:t>.</w:t>
      </w:r>
      <w:r w:rsidR="004E2B91" w:rsidRPr="00DC40DD">
        <w:rPr>
          <w:szCs w:val="22"/>
        </w:rPr>
        <w:t xml:space="preserve"> </w:t>
      </w:r>
    </w:p>
    <w:p w14:paraId="20C530E2" w14:textId="77777777" w:rsidR="00F92840" w:rsidRPr="00DC40DD" w:rsidRDefault="00F92840" w:rsidP="00B56E2B">
      <w:pPr>
        <w:rPr>
          <w:szCs w:val="22"/>
        </w:rPr>
      </w:pPr>
    </w:p>
    <w:p w14:paraId="1081F249" w14:textId="4A9DBF6A" w:rsidR="00AD20D1" w:rsidRPr="00DC40DD" w:rsidRDefault="00AD20D1" w:rsidP="00B56E2B">
      <w:pPr>
        <w:rPr>
          <w:szCs w:val="22"/>
        </w:rPr>
      </w:pPr>
      <w:r w:rsidRPr="00DC40DD">
        <w:rPr>
          <w:szCs w:val="22"/>
        </w:rPr>
        <w:t xml:space="preserve">Pursuant to Ark. Code Ann. § 19-11-229, 19-11-230 and 22-9-203 the State of Arkansas encourages all small, minority, and women owned business enterprises to submit competitive sealed bids and proposals for </w:t>
      </w:r>
      <w:r w:rsidR="006513AB" w:rsidRPr="00DC40DD">
        <w:rPr>
          <w:szCs w:val="22"/>
        </w:rPr>
        <w:t>university</w:t>
      </w:r>
      <w:r w:rsidRPr="00DC40DD">
        <w:rPr>
          <w:szCs w:val="22"/>
        </w:rPr>
        <w:t xml:space="preserve"> projects, including capital improvement projects. Encouragement is also made to all general contractors that in the event they subcontract portions of their work, consideration is given to the identified groups</w:t>
      </w:r>
      <w:r w:rsidR="004E2B91" w:rsidRPr="00DC40DD">
        <w:rPr>
          <w:szCs w:val="22"/>
        </w:rPr>
        <w:t>.</w:t>
      </w:r>
    </w:p>
    <w:p w14:paraId="64388886" w14:textId="77777777" w:rsidR="00AD20D1" w:rsidRPr="00DC40DD" w:rsidRDefault="00AD20D1" w:rsidP="00B56E2B">
      <w:pPr>
        <w:rPr>
          <w:szCs w:val="22"/>
        </w:rPr>
      </w:pPr>
    </w:p>
    <w:p w14:paraId="67DA6ABF" w14:textId="77777777" w:rsidR="00AD20D1" w:rsidRPr="00DC40DD" w:rsidRDefault="00AD20D1" w:rsidP="00B56E2B">
      <w:pPr>
        <w:rPr>
          <w:szCs w:val="22"/>
        </w:rPr>
      </w:pPr>
      <w:r w:rsidRPr="00DC40DD">
        <w:rPr>
          <w:szCs w:val="22"/>
        </w:rPr>
        <w:t xml:space="preserve">To ensure the University of Arkansas is meeting its goal to support minority and women-owned businesses, we ask that contractors disclose if they, or, if applicable, any subcontractors, are minority or women-owned businesses. </w:t>
      </w:r>
    </w:p>
    <w:p w14:paraId="413E1B12" w14:textId="77777777" w:rsidR="00AD20D1" w:rsidRPr="00DC40DD" w:rsidRDefault="00AD20D1" w:rsidP="00B56E2B">
      <w:pPr>
        <w:rPr>
          <w:szCs w:val="22"/>
        </w:rPr>
      </w:pPr>
    </w:p>
    <w:p w14:paraId="77246AF1" w14:textId="77777777" w:rsidR="00AD20D1" w:rsidRPr="00DC40DD" w:rsidRDefault="00AD20D1" w:rsidP="00B56E2B">
      <w:pPr>
        <w:rPr>
          <w:szCs w:val="22"/>
        </w:rPr>
      </w:pPr>
      <w:r w:rsidRPr="00DC40DD">
        <w:rPr>
          <w:szCs w:val="22"/>
        </w:rPr>
        <w:t>Please check the appropriate statement below:</w:t>
      </w:r>
    </w:p>
    <w:p w14:paraId="49484AF2" w14:textId="07C3CF02" w:rsidR="00AD20D1" w:rsidRPr="00DC40DD" w:rsidRDefault="00426DEF" w:rsidP="00B56E2B">
      <w:pPr>
        <w:rPr>
          <w:szCs w:val="22"/>
        </w:rPr>
      </w:pPr>
      <w:sdt>
        <w:sdtPr>
          <w:rPr>
            <w:szCs w:val="22"/>
          </w:rPr>
          <w:id w:val="1734115385"/>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Minority and Women-Owned Business Information Attached.</w:t>
      </w:r>
    </w:p>
    <w:p w14:paraId="67DB1C71" w14:textId="7DE92C15" w:rsidR="00AD20D1" w:rsidRPr="00DC40DD" w:rsidRDefault="00426DEF" w:rsidP="00B56E2B">
      <w:pPr>
        <w:rPr>
          <w:szCs w:val="22"/>
        </w:rPr>
      </w:pPr>
      <w:sdt>
        <w:sdtPr>
          <w:rPr>
            <w:szCs w:val="22"/>
          </w:rPr>
          <w:id w:val="1920592936"/>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 xml:space="preserve">Minority and Women-Owned Business Information Not Applicable. </w:t>
      </w:r>
    </w:p>
    <w:p w14:paraId="5BDF13C2" w14:textId="77777777" w:rsidR="00AD20D1" w:rsidRDefault="00AD20D1"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Contact Info"/>
        <w:tblDescription w:val="This table allows the bidder to provide their name and mailing address."/>
      </w:tblPr>
      <w:tblGrid>
        <w:gridCol w:w="3596"/>
        <w:gridCol w:w="3597"/>
        <w:gridCol w:w="3597"/>
      </w:tblGrid>
      <w:tr w:rsidR="00536172" w:rsidRPr="005925F8" w14:paraId="420C732C" w14:textId="77777777" w:rsidTr="00327EFC">
        <w:tc>
          <w:tcPr>
            <w:tcW w:w="1666" w:type="pct"/>
            <w:shd w:val="clear" w:color="auto" w:fill="F2F2F2"/>
          </w:tcPr>
          <w:p w14:paraId="4D8C24EF" w14:textId="1C40C1D5" w:rsidR="00536172" w:rsidRPr="005925F8" w:rsidRDefault="00536172" w:rsidP="00B56E2B">
            <w:pPr>
              <w:spacing w:line="360" w:lineRule="auto"/>
              <w:rPr>
                <w:szCs w:val="22"/>
              </w:rPr>
            </w:pPr>
            <w:r w:rsidRPr="005925F8">
              <w:rPr>
                <w:szCs w:val="22"/>
              </w:rPr>
              <w:t>Contractor Name</w:t>
            </w:r>
          </w:p>
        </w:tc>
        <w:tc>
          <w:tcPr>
            <w:tcW w:w="1667" w:type="pct"/>
            <w:shd w:val="clear" w:color="auto" w:fill="F2F2F2"/>
          </w:tcPr>
          <w:p w14:paraId="1471CE8D" w14:textId="6B28295D" w:rsidR="00536172" w:rsidRPr="005925F8" w:rsidRDefault="00536172" w:rsidP="00B56E2B">
            <w:pPr>
              <w:spacing w:line="360" w:lineRule="auto"/>
              <w:rPr>
                <w:szCs w:val="22"/>
              </w:rPr>
            </w:pPr>
            <w:r w:rsidRPr="005925F8">
              <w:rPr>
                <w:szCs w:val="22"/>
              </w:rPr>
              <w:t>Mailing Address</w:t>
            </w:r>
          </w:p>
        </w:tc>
        <w:tc>
          <w:tcPr>
            <w:tcW w:w="1667" w:type="pct"/>
            <w:shd w:val="clear" w:color="auto" w:fill="F2F2F2"/>
          </w:tcPr>
          <w:p w14:paraId="6D0DB603" w14:textId="6C912348" w:rsidR="00536172" w:rsidRPr="005925F8" w:rsidRDefault="00536172" w:rsidP="00B56E2B">
            <w:pPr>
              <w:spacing w:line="360" w:lineRule="auto"/>
              <w:rPr>
                <w:szCs w:val="22"/>
              </w:rPr>
            </w:pPr>
            <w:r w:rsidRPr="005925F8">
              <w:rPr>
                <w:szCs w:val="22"/>
              </w:rPr>
              <w:t xml:space="preserve">City, State, </w:t>
            </w:r>
            <w:r w:rsidR="00B44B1A" w:rsidRPr="005925F8">
              <w:rPr>
                <w:szCs w:val="22"/>
              </w:rPr>
              <w:t xml:space="preserve">Zip </w:t>
            </w:r>
          </w:p>
        </w:tc>
      </w:tr>
      <w:tr w:rsidR="00536172" w:rsidRPr="005925F8" w14:paraId="0CA637CC" w14:textId="77777777" w:rsidTr="00327EFC">
        <w:tc>
          <w:tcPr>
            <w:tcW w:w="1666" w:type="pct"/>
          </w:tcPr>
          <w:p w14:paraId="72AB2FFB" w14:textId="77777777" w:rsidR="00536172" w:rsidRPr="005925F8" w:rsidRDefault="00536172" w:rsidP="00B56E2B">
            <w:pPr>
              <w:spacing w:line="360" w:lineRule="auto"/>
              <w:rPr>
                <w:szCs w:val="22"/>
              </w:rPr>
            </w:pPr>
          </w:p>
        </w:tc>
        <w:tc>
          <w:tcPr>
            <w:tcW w:w="1667" w:type="pct"/>
          </w:tcPr>
          <w:p w14:paraId="2C5C9796" w14:textId="77777777" w:rsidR="00536172" w:rsidRPr="005925F8" w:rsidRDefault="00536172" w:rsidP="00B56E2B">
            <w:pPr>
              <w:spacing w:line="360" w:lineRule="auto"/>
              <w:rPr>
                <w:szCs w:val="22"/>
              </w:rPr>
            </w:pPr>
          </w:p>
        </w:tc>
        <w:tc>
          <w:tcPr>
            <w:tcW w:w="1667" w:type="pct"/>
          </w:tcPr>
          <w:p w14:paraId="77302271" w14:textId="77777777" w:rsidR="00536172" w:rsidRPr="005925F8" w:rsidRDefault="00536172" w:rsidP="00B56E2B">
            <w:pPr>
              <w:spacing w:line="360" w:lineRule="auto"/>
              <w:rPr>
                <w:szCs w:val="22"/>
              </w:rPr>
            </w:pPr>
          </w:p>
        </w:tc>
      </w:tr>
    </w:tbl>
    <w:p w14:paraId="10EF5D14" w14:textId="77777777" w:rsidR="00536172" w:rsidRPr="005925F8" w:rsidRDefault="00536172"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Signature"/>
        <w:tblDescription w:val="This table provides fields for the  bidder to complete with signature, name, title, and date. "/>
      </w:tblPr>
      <w:tblGrid>
        <w:gridCol w:w="3145"/>
        <w:gridCol w:w="2969"/>
        <w:gridCol w:w="2881"/>
        <w:gridCol w:w="1795"/>
      </w:tblGrid>
      <w:tr w:rsidR="00536172" w:rsidRPr="005925F8" w14:paraId="2B0FA966" w14:textId="27254D7C" w:rsidTr="00327EFC">
        <w:tc>
          <w:tcPr>
            <w:tcW w:w="1457" w:type="pct"/>
            <w:shd w:val="clear" w:color="auto" w:fill="F2F2F2"/>
          </w:tcPr>
          <w:p w14:paraId="062E1C5D" w14:textId="39FDC8AE" w:rsidR="00536172" w:rsidRPr="00DB7281" w:rsidRDefault="00536172" w:rsidP="00EF477C">
            <w:r w:rsidRPr="00DB7281">
              <w:t>Signature</w:t>
            </w:r>
          </w:p>
        </w:tc>
        <w:tc>
          <w:tcPr>
            <w:tcW w:w="1376" w:type="pct"/>
            <w:shd w:val="clear" w:color="auto" w:fill="F2F2F2"/>
          </w:tcPr>
          <w:p w14:paraId="3202C718" w14:textId="12D77E00" w:rsidR="00536172" w:rsidRPr="005925F8" w:rsidRDefault="00536172" w:rsidP="00B56E2B">
            <w:pPr>
              <w:spacing w:line="360" w:lineRule="auto"/>
              <w:rPr>
                <w:szCs w:val="22"/>
              </w:rPr>
            </w:pPr>
            <w:r w:rsidRPr="005925F8">
              <w:rPr>
                <w:szCs w:val="22"/>
              </w:rPr>
              <w:t>Name</w:t>
            </w:r>
          </w:p>
        </w:tc>
        <w:tc>
          <w:tcPr>
            <w:tcW w:w="1335" w:type="pct"/>
            <w:shd w:val="clear" w:color="auto" w:fill="F2F2F2"/>
          </w:tcPr>
          <w:p w14:paraId="2F9CBD1C" w14:textId="49CF35F3" w:rsidR="00536172" w:rsidRPr="005925F8" w:rsidRDefault="00536172" w:rsidP="00B56E2B">
            <w:pPr>
              <w:spacing w:line="360" w:lineRule="auto"/>
              <w:rPr>
                <w:szCs w:val="22"/>
              </w:rPr>
            </w:pPr>
            <w:r w:rsidRPr="005925F8">
              <w:rPr>
                <w:szCs w:val="22"/>
              </w:rPr>
              <w:t>Title</w:t>
            </w:r>
          </w:p>
        </w:tc>
        <w:tc>
          <w:tcPr>
            <w:tcW w:w="832" w:type="pct"/>
            <w:shd w:val="clear" w:color="auto" w:fill="F2F2F2"/>
          </w:tcPr>
          <w:p w14:paraId="5D1A4EA3" w14:textId="31042CA3" w:rsidR="00536172" w:rsidRPr="005925F8" w:rsidRDefault="00536172" w:rsidP="00B56E2B">
            <w:pPr>
              <w:spacing w:line="360" w:lineRule="auto"/>
              <w:rPr>
                <w:szCs w:val="22"/>
              </w:rPr>
            </w:pPr>
            <w:r w:rsidRPr="005925F8">
              <w:rPr>
                <w:szCs w:val="22"/>
              </w:rPr>
              <w:t>Date</w:t>
            </w:r>
          </w:p>
        </w:tc>
      </w:tr>
      <w:tr w:rsidR="00536172" w:rsidRPr="005925F8" w14:paraId="0078E4F5" w14:textId="54B7F4DA" w:rsidTr="00327EFC">
        <w:tc>
          <w:tcPr>
            <w:tcW w:w="1457" w:type="pct"/>
          </w:tcPr>
          <w:p w14:paraId="12E279CF" w14:textId="77777777" w:rsidR="00536172" w:rsidRPr="005925F8" w:rsidRDefault="00536172" w:rsidP="00B56E2B">
            <w:pPr>
              <w:spacing w:line="360" w:lineRule="auto"/>
              <w:rPr>
                <w:szCs w:val="22"/>
              </w:rPr>
            </w:pPr>
          </w:p>
        </w:tc>
        <w:tc>
          <w:tcPr>
            <w:tcW w:w="1376" w:type="pct"/>
          </w:tcPr>
          <w:p w14:paraId="1567C62E" w14:textId="77777777" w:rsidR="00536172" w:rsidRPr="005925F8" w:rsidRDefault="00536172" w:rsidP="00B56E2B">
            <w:pPr>
              <w:spacing w:line="360" w:lineRule="auto"/>
              <w:rPr>
                <w:szCs w:val="22"/>
              </w:rPr>
            </w:pPr>
          </w:p>
        </w:tc>
        <w:tc>
          <w:tcPr>
            <w:tcW w:w="1335" w:type="pct"/>
          </w:tcPr>
          <w:p w14:paraId="492A8D3B" w14:textId="77777777" w:rsidR="00536172" w:rsidRPr="005925F8" w:rsidRDefault="00536172" w:rsidP="00B56E2B">
            <w:pPr>
              <w:spacing w:line="360" w:lineRule="auto"/>
              <w:rPr>
                <w:szCs w:val="22"/>
              </w:rPr>
            </w:pPr>
          </w:p>
        </w:tc>
        <w:tc>
          <w:tcPr>
            <w:tcW w:w="832" w:type="pct"/>
          </w:tcPr>
          <w:p w14:paraId="30393CBE" w14:textId="77777777" w:rsidR="00536172" w:rsidRPr="005925F8" w:rsidRDefault="00536172" w:rsidP="00B56E2B">
            <w:pPr>
              <w:spacing w:line="360" w:lineRule="auto"/>
              <w:rPr>
                <w:szCs w:val="22"/>
              </w:rPr>
            </w:pPr>
          </w:p>
        </w:tc>
      </w:tr>
    </w:tbl>
    <w:p w14:paraId="4D8655BE" w14:textId="77777777" w:rsidR="00AD20D1" w:rsidRPr="00DC40DD" w:rsidRDefault="00AD20D1" w:rsidP="00B56E2B">
      <w:pPr>
        <w:rPr>
          <w:szCs w:val="22"/>
        </w:rPr>
      </w:pPr>
    </w:p>
    <w:p w14:paraId="7775BC7D" w14:textId="01B8CF1B" w:rsidR="00DC40DD" w:rsidRDefault="00005BCB" w:rsidP="00B56E2B">
      <w:pPr>
        <w:rPr>
          <w:szCs w:val="22"/>
        </w:rPr>
      </w:pPr>
      <w:r w:rsidRPr="00DC40DD">
        <w:rPr>
          <w:szCs w:val="22"/>
        </w:rPr>
        <w:t>The University of Arkansas, Fayetteville Procurement Department (UA), will maintain files of policies or written responses received from all contractors in response to solicitations issued by UA. For questions, please contact the Procurement Department by calling (479) 575-2551.</w:t>
      </w:r>
    </w:p>
    <w:p w14:paraId="56AE8F35" w14:textId="0BBF4FD5" w:rsidR="00005BCB" w:rsidRPr="00DC40DD" w:rsidRDefault="00DC40DD" w:rsidP="00B56E2B">
      <w:pPr>
        <w:rPr>
          <w:szCs w:val="22"/>
        </w:rPr>
      </w:pPr>
      <w:r>
        <w:rPr>
          <w:szCs w:val="22"/>
        </w:rPr>
        <w:br w:type="page"/>
      </w:r>
    </w:p>
    <w:p w14:paraId="148CE430" w14:textId="5F88CF08" w:rsidR="00A70529" w:rsidRPr="00AD7FD9" w:rsidRDefault="00A70529" w:rsidP="0035182E">
      <w:pPr>
        <w:pStyle w:val="Heading1"/>
      </w:pPr>
      <w:bookmarkStart w:id="5" w:name="_Toc171502164"/>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5"/>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6"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7" w:name="_Toc171502165"/>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7"/>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6"/>
    </w:tbl>
    <w:p w14:paraId="2F36E968" w14:textId="77777777" w:rsidR="00AC781B" w:rsidRPr="00A555CC" w:rsidRDefault="00AC781B" w:rsidP="00B56E2B">
      <w:pPr>
        <w:rPr>
          <w:b/>
          <w:bCs/>
        </w:rPr>
      </w:pPr>
      <w:r w:rsidRPr="00A555CC">
        <w:rPr>
          <w:b/>
          <w:bCs/>
        </w:rPr>
        <w:br w:type="page"/>
      </w:r>
    </w:p>
    <w:p w14:paraId="5B6FE0AA" w14:textId="1276AD79" w:rsidR="00B34A18" w:rsidRPr="00885384" w:rsidRDefault="00B34A18" w:rsidP="0035182E">
      <w:pPr>
        <w:pStyle w:val="Heading1"/>
      </w:pPr>
      <w:bookmarkStart w:id="8" w:name="_Toc171502166"/>
      <w:r w:rsidRPr="00885384">
        <w:lastRenderedPageBreak/>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8"/>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2C3D28F9" w14:textId="77777777" w:rsidR="005C4651" w:rsidRPr="00492524" w:rsidRDefault="005C4651" w:rsidP="005C4651">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pacing w:val="-2"/>
          <w:sz w:val="24"/>
          <w:szCs w:val="24"/>
        </w:rPr>
        <w:t>Israel.</w:t>
      </w:r>
    </w:p>
    <w:p w14:paraId="41599633" w14:textId="77777777" w:rsidR="005C4651" w:rsidRPr="00492524" w:rsidRDefault="005C4651" w:rsidP="005C4651">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sz w:val="24"/>
          <w:szCs w:val="24"/>
        </w:rPr>
      </w:pPr>
      <w:r w:rsidRPr="00492524">
        <w:rPr>
          <w:rFonts w:ascii="Minion Pro" w:hAnsi="Minion Pro"/>
          <w:sz w:val="24"/>
          <w:szCs w:val="24"/>
        </w:rPr>
        <w:t>Knowingly</w:t>
      </w:r>
      <w:r w:rsidRPr="00492524">
        <w:rPr>
          <w:rFonts w:ascii="Minion Pro" w:hAnsi="Minion Pro"/>
          <w:spacing w:val="-5"/>
          <w:sz w:val="24"/>
          <w:szCs w:val="24"/>
        </w:rPr>
        <w:t xml:space="preserve"> </w:t>
      </w:r>
      <w:r w:rsidRPr="00492524">
        <w:rPr>
          <w:rFonts w:ascii="Minion Pro" w:hAnsi="Minion Pro"/>
          <w:sz w:val="24"/>
          <w:szCs w:val="24"/>
        </w:rPr>
        <w:t>employ</w:t>
      </w:r>
      <w:r w:rsidRPr="00492524">
        <w:rPr>
          <w:rFonts w:ascii="Minion Pro" w:hAnsi="Minion Pro"/>
          <w:spacing w:val="-8"/>
          <w:sz w:val="24"/>
          <w:szCs w:val="24"/>
        </w:rPr>
        <w:t xml:space="preserve"> </w:t>
      </w:r>
      <w:r w:rsidRPr="00492524">
        <w:rPr>
          <w:rFonts w:ascii="Minion Pro" w:hAnsi="Minion Pro"/>
          <w:sz w:val="24"/>
          <w:szCs w:val="24"/>
        </w:rPr>
        <w:t>or</w:t>
      </w:r>
      <w:r w:rsidRPr="00492524">
        <w:rPr>
          <w:rFonts w:ascii="Minion Pro" w:hAnsi="Minion Pro"/>
          <w:spacing w:val="-7"/>
          <w:sz w:val="24"/>
          <w:szCs w:val="24"/>
        </w:rPr>
        <w:t xml:space="preserve"> </w:t>
      </w:r>
      <w:r w:rsidRPr="00492524">
        <w:rPr>
          <w:rFonts w:ascii="Minion Pro" w:hAnsi="Minion Pro"/>
          <w:sz w:val="24"/>
          <w:szCs w:val="24"/>
        </w:rPr>
        <w:t>contract</w:t>
      </w:r>
      <w:r w:rsidRPr="00492524">
        <w:rPr>
          <w:rFonts w:ascii="Minion Pro" w:hAnsi="Minion Pro"/>
          <w:spacing w:val="-3"/>
          <w:sz w:val="24"/>
          <w:szCs w:val="24"/>
        </w:rPr>
        <w:t xml:space="preserve"> </w:t>
      </w:r>
      <w:r w:rsidRPr="00492524">
        <w:rPr>
          <w:rFonts w:ascii="Minion Pro" w:hAnsi="Minion Pro"/>
          <w:sz w:val="24"/>
          <w:szCs w:val="24"/>
        </w:rPr>
        <w:t>with</w:t>
      </w:r>
      <w:r w:rsidRPr="00492524">
        <w:rPr>
          <w:rFonts w:ascii="Minion Pro" w:hAnsi="Minion Pro"/>
          <w:spacing w:val="-8"/>
          <w:sz w:val="24"/>
          <w:szCs w:val="24"/>
        </w:rPr>
        <w:t xml:space="preserve"> </w:t>
      </w:r>
      <w:r w:rsidRPr="00492524">
        <w:rPr>
          <w:rFonts w:ascii="Minion Pro" w:hAnsi="Minion Pro"/>
          <w:sz w:val="24"/>
          <w:szCs w:val="24"/>
        </w:rPr>
        <w:t>illegal</w:t>
      </w:r>
      <w:r w:rsidRPr="00492524">
        <w:rPr>
          <w:rFonts w:ascii="Minion Pro" w:hAnsi="Minion Pro"/>
          <w:spacing w:val="-8"/>
          <w:sz w:val="24"/>
          <w:szCs w:val="24"/>
        </w:rPr>
        <w:t xml:space="preserve"> </w:t>
      </w:r>
      <w:r w:rsidRPr="00492524">
        <w:rPr>
          <w:rFonts w:ascii="Minion Pro" w:hAnsi="Minion Pro"/>
          <w:spacing w:val="-2"/>
          <w:sz w:val="24"/>
          <w:szCs w:val="24"/>
        </w:rPr>
        <w:t>immigrants.</w:t>
      </w:r>
    </w:p>
    <w:p w14:paraId="24E3EFC8" w14:textId="77777777" w:rsidR="005C4651" w:rsidRPr="00492524" w:rsidRDefault="005C4651" w:rsidP="005C4651">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z w:val="24"/>
          <w:szCs w:val="24"/>
        </w:rPr>
        <w:t>Energy,</w:t>
      </w:r>
      <w:r w:rsidRPr="00492524">
        <w:rPr>
          <w:rFonts w:ascii="Minion Pro" w:hAnsi="Minion Pro"/>
          <w:spacing w:val="-8"/>
          <w:sz w:val="24"/>
          <w:szCs w:val="24"/>
        </w:rPr>
        <w:t xml:space="preserve"> </w:t>
      </w:r>
      <w:r w:rsidRPr="00492524">
        <w:rPr>
          <w:rFonts w:ascii="Minion Pro" w:hAnsi="Minion Pro"/>
          <w:sz w:val="24"/>
          <w:szCs w:val="24"/>
        </w:rPr>
        <w:t>Fossil</w:t>
      </w:r>
      <w:r w:rsidRPr="00492524">
        <w:rPr>
          <w:rFonts w:ascii="Minion Pro" w:hAnsi="Minion Pro"/>
          <w:spacing w:val="-12"/>
          <w:sz w:val="24"/>
          <w:szCs w:val="24"/>
        </w:rPr>
        <w:t xml:space="preserve"> </w:t>
      </w:r>
      <w:r w:rsidRPr="00492524">
        <w:rPr>
          <w:rFonts w:ascii="Minion Pro" w:hAnsi="Minion Pro"/>
          <w:sz w:val="24"/>
          <w:szCs w:val="24"/>
        </w:rPr>
        <w:t>Fuel,</w:t>
      </w:r>
      <w:r w:rsidRPr="00492524">
        <w:rPr>
          <w:rFonts w:ascii="Minion Pro" w:hAnsi="Minion Pro"/>
          <w:spacing w:val="-8"/>
          <w:sz w:val="24"/>
          <w:szCs w:val="24"/>
        </w:rPr>
        <w:t xml:space="preserve"> </w:t>
      </w:r>
      <w:r w:rsidRPr="00492524">
        <w:rPr>
          <w:rFonts w:ascii="Minion Pro" w:hAnsi="Minion Pro"/>
          <w:sz w:val="24"/>
          <w:szCs w:val="24"/>
        </w:rPr>
        <w:t>Firearms,</w:t>
      </w:r>
      <w:r w:rsidRPr="00492524">
        <w:rPr>
          <w:rFonts w:ascii="Minion Pro" w:hAnsi="Minion Pro"/>
          <w:spacing w:val="-6"/>
          <w:sz w:val="24"/>
          <w:szCs w:val="24"/>
        </w:rPr>
        <w:t xml:space="preserve"> </w:t>
      </w:r>
      <w:r w:rsidRPr="00492524">
        <w:rPr>
          <w:rFonts w:ascii="Minion Pro" w:hAnsi="Minion Pro"/>
          <w:sz w:val="24"/>
          <w:szCs w:val="24"/>
        </w:rPr>
        <w:t>or</w:t>
      </w:r>
      <w:r w:rsidRPr="00492524">
        <w:rPr>
          <w:rFonts w:ascii="Minion Pro" w:hAnsi="Minion Pro"/>
          <w:spacing w:val="-6"/>
          <w:sz w:val="24"/>
          <w:szCs w:val="24"/>
        </w:rPr>
        <w:t xml:space="preserve"> </w:t>
      </w:r>
      <w:r w:rsidRPr="00492524">
        <w:rPr>
          <w:rFonts w:ascii="Minion Pro" w:hAnsi="Minion Pro"/>
          <w:sz w:val="24"/>
          <w:szCs w:val="24"/>
        </w:rPr>
        <w:t>Ammunition</w:t>
      </w:r>
      <w:r w:rsidRPr="00492524">
        <w:rPr>
          <w:rFonts w:ascii="Minion Pro" w:hAnsi="Minion Pro"/>
          <w:spacing w:val="-10"/>
          <w:sz w:val="24"/>
          <w:szCs w:val="24"/>
        </w:rPr>
        <w:t xml:space="preserve"> </w:t>
      </w:r>
      <w:r w:rsidRPr="00492524">
        <w:rPr>
          <w:rFonts w:ascii="Minion Pro" w:hAnsi="Minion Pro"/>
          <w:spacing w:val="-2"/>
          <w:sz w:val="24"/>
          <w:szCs w:val="24"/>
        </w:rPr>
        <w:t>Industries.</w:t>
      </w:r>
    </w:p>
    <w:p w14:paraId="5772898C" w14:textId="77777777" w:rsidR="005C4651" w:rsidRPr="00492524" w:rsidRDefault="005C4651" w:rsidP="005C4651">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sz w:val="24"/>
          <w:szCs w:val="24"/>
        </w:rPr>
      </w:pPr>
      <w:r w:rsidRPr="00492524">
        <w:rPr>
          <w:rFonts w:ascii="Minion Pro" w:hAnsi="Minion Pro"/>
          <w:sz w:val="24"/>
          <w:szCs w:val="24"/>
        </w:rPr>
        <w:t>Employ</w:t>
      </w:r>
      <w:r w:rsidRPr="00492524">
        <w:rPr>
          <w:rFonts w:ascii="Minion Pro" w:hAnsi="Minion Pro"/>
          <w:spacing w:val="-5"/>
          <w:sz w:val="24"/>
          <w:szCs w:val="24"/>
        </w:rPr>
        <w:t xml:space="preserve"> </w:t>
      </w:r>
      <w:r w:rsidRPr="00492524">
        <w:rPr>
          <w:rFonts w:ascii="Minion Pro" w:hAnsi="Minion Pro"/>
          <w:sz w:val="24"/>
          <w:szCs w:val="24"/>
        </w:rPr>
        <w:t>a</w:t>
      </w:r>
      <w:r w:rsidRPr="00492524">
        <w:rPr>
          <w:rFonts w:ascii="Minion Pro" w:hAnsi="Minion Pro"/>
          <w:spacing w:val="-3"/>
          <w:sz w:val="24"/>
          <w:szCs w:val="24"/>
        </w:rPr>
        <w:t xml:space="preserve"> </w:t>
      </w:r>
      <w:r w:rsidRPr="00492524">
        <w:rPr>
          <w:rFonts w:ascii="Minion Pro" w:hAnsi="Minion Pro"/>
          <w:sz w:val="24"/>
          <w:szCs w:val="24"/>
        </w:rPr>
        <w:t>Scrutinized</w:t>
      </w:r>
      <w:r w:rsidRPr="00492524">
        <w:rPr>
          <w:rFonts w:ascii="Minion Pro" w:hAnsi="Minion Pro"/>
          <w:spacing w:val="-5"/>
          <w:sz w:val="24"/>
          <w:szCs w:val="24"/>
        </w:rPr>
        <w:t xml:space="preserve"> </w:t>
      </w:r>
      <w:r w:rsidRPr="00492524">
        <w:rPr>
          <w:rFonts w:ascii="Minion Pro" w:hAnsi="Minion Pro"/>
          <w:sz w:val="24"/>
          <w:szCs w:val="24"/>
        </w:rPr>
        <w:t>Company</w:t>
      </w:r>
      <w:r w:rsidRPr="00492524">
        <w:rPr>
          <w:rFonts w:ascii="Minion Pro" w:hAnsi="Minion Pro"/>
          <w:spacing w:val="-4"/>
          <w:sz w:val="24"/>
          <w:szCs w:val="24"/>
        </w:rPr>
        <w:t xml:space="preserve"> </w:t>
      </w:r>
      <w:r w:rsidRPr="00492524">
        <w:rPr>
          <w:rFonts w:ascii="Minion Pro" w:hAnsi="Minion Pro"/>
          <w:sz w:val="24"/>
          <w:szCs w:val="24"/>
        </w:rPr>
        <w:t>as</w:t>
      </w:r>
      <w:r w:rsidRPr="00492524">
        <w:rPr>
          <w:rFonts w:ascii="Minion Pro" w:hAnsi="Minion Pro"/>
          <w:spacing w:val="-3"/>
          <w:sz w:val="24"/>
          <w:szCs w:val="24"/>
        </w:rPr>
        <w:t xml:space="preserve"> </w:t>
      </w:r>
      <w:r w:rsidRPr="00492524">
        <w:rPr>
          <w:rFonts w:ascii="Minion Pro" w:hAnsi="Minion Pro"/>
          <w:sz w:val="24"/>
          <w:szCs w:val="24"/>
        </w:rPr>
        <w:t>a</w:t>
      </w:r>
      <w:r w:rsidRPr="00492524">
        <w:rPr>
          <w:rFonts w:ascii="Minion Pro" w:hAnsi="Minion Pro"/>
          <w:spacing w:val="-6"/>
          <w:sz w:val="24"/>
          <w:szCs w:val="24"/>
        </w:rPr>
        <w:t xml:space="preserve"> </w:t>
      </w:r>
      <w:r w:rsidRPr="00492524">
        <w:rPr>
          <w:rFonts w:ascii="Minion Pro" w:hAnsi="Minion Pro"/>
          <w:spacing w:val="-2"/>
          <w:sz w:val="24"/>
          <w:szCs w:val="24"/>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9" w:name="_Toc171502167"/>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9"/>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426DEF"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426DEF"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426DEF"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426DEF"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526ED" w14:textId="77777777" w:rsidR="00EA62A4" w:rsidRDefault="00EA62A4">
      <w:r>
        <w:separator/>
      </w:r>
    </w:p>
  </w:endnote>
  <w:endnote w:type="continuationSeparator" w:id="0">
    <w:p w14:paraId="4306BDE7" w14:textId="77777777" w:rsidR="00EA62A4" w:rsidRDefault="00EA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C7EB6" w14:textId="77777777" w:rsidR="00EA62A4" w:rsidRDefault="00EA62A4">
      <w:r>
        <w:separator/>
      </w:r>
    </w:p>
  </w:footnote>
  <w:footnote w:type="continuationSeparator" w:id="0">
    <w:p w14:paraId="0F06FF4C" w14:textId="77777777" w:rsidR="00EA62A4" w:rsidRDefault="00EA6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164D3F6B"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B21F70">
                            <w:rPr>
                              <w:rFonts w:ascii="Myriad" w:hAnsi="Myriad"/>
                              <w:b/>
                              <w:bCs/>
                              <w:sz w:val="18"/>
                              <w:szCs w:val="18"/>
                            </w:rPr>
                            <w:t>02242025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164D3F6B"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B21F70">
                      <w:rPr>
                        <w:rFonts w:ascii="Myriad" w:hAnsi="Myriad"/>
                        <w:b/>
                        <w:bCs/>
                        <w:sz w:val="18"/>
                        <w:szCs w:val="18"/>
                      </w:rPr>
                      <w:t>02242025</w:t>
                    </w: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45BD"/>
    <w:rsid w:val="00030725"/>
    <w:rsid w:val="000308BD"/>
    <w:rsid w:val="0003143A"/>
    <w:rsid w:val="000319A8"/>
    <w:rsid w:val="00031A0B"/>
    <w:rsid w:val="000379B7"/>
    <w:rsid w:val="0004002D"/>
    <w:rsid w:val="000400A6"/>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2F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58C"/>
    <w:rsid w:val="00244BD6"/>
    <w:rsid w:val="00245B6C"/>
    <w:rsid w:val="00246449"/>
    <w:rsid w:val="002477C5"/>
    <w:rsid w:val="00252ABB"/>
    <w:rsid w:val="00254B80"/>
    <w:rsid w:val="00254C57"/>
    <w:rsid w:val="0025511C"/>
    <w:rsid w:val="00260841"/>
    <w:rsid w:val="00262CC9"/>
    <w:rsid w:val="002635B1"/>
    <w:rsid w:val="00263BD7"/>
    <w:rsid w:val="0026760D"/>
    <w:rsid w:val="00271D30"/>
    <w:rsid w:val="0027267C"/>
    <w:rsid w:val="002747A8"/>
    <w:rsid w:val="00276641"/>
    <w:rsid w:val="00276848"/>
    <w:rsid w:val="00276C27"/>
    <w:rsid w:val="00280400"/>
    <w:rsid w:val="002810DF"/>
    <w:rsid w:val="00285607"/>
    <w:rsid w:val="00291216"/>
    <w:rsid w:val="00291343"/>
    <w:rsid w:val="00291966"/>
    <w:rsid w:val="002927E1"/>
    <w:rsid w:val="00294CFA"/>
    <w:rsid w:val="00296286"/>
    <w:rsid w:val="002A20BB"/>
    <w:rsid w:val="002A2165"/>
    <w:rsid w:val="002A2C17"/>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6DEF"/>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2524"/>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825"/>
    <w:rsid w:val="004D6CAB"/>
    <w:rsid w:val="004E06CB"/>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0FF"/>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4651"/>
    <w:rsid w:val="005C55BA"/>
    <w:rsid w:val="005C659E"/>
    <w:rsid w:val="005C6B27"/>
    <w:rsid w:val="005C7845"/>
    <w:rsid w:val="005D3851"/>
    <w:rsid w:val="005E651B"/>
    <w:rsid w:val="005E70B6"/>
    <w:rsid w:val="005F034F"/>
    <w:rsid w:val="005F073A"/>
    <w:rsid w:val="005F34CE"/>
    <w:rsid w:val="005F6B21"/>
    <w:rsid w:val="005F7009"/>
    <w:rsid w:val="005F71D7"/>
    <w:rsid w:val="00607F8C"/>
    <w:rsid w:val="006100B0"/>
    <w:rsid w:val="00612687"/>
    <w:rsid w:val="00612925"/>
    <w:rsid w:val="006157E6"/>
    <w:rsid w:val="00621D07"/>
    <w:rsid w:val="0062420A"/>
    <w:rsid w:val="006268F4"/>
    <w:rsid w:val="0062782B"/>
    <w:rsid w:val="00635849"/>
    <w:rsid w:val="006430D2"/>
    <w:rsid w:val="006438FB"/>
    <w:rsid w:val="00644240"/>
    <w:rsid w:val="0064475C"/>
    <w:rsid w:val="00645BD8"/>
    <w:rsid w:val="006467CD"/>
    <w:rsid w:val="00650AA1"/>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86027"/>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0D30"/>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629B"/>
    <w:rsid w:val="008D7A7F"/>
    <w:rsid w:val="008D7D5E"/>
    <w:rsid w:val="008E2297"/>
    <w:rsid w:val="008E2F35"/>
    <w:rsid w:val="008E6AD7"/>
    <w:rsid w:val="008E7072"/>
    <w:rsid w:val="008F043B"/>
    <w:rsid w:val="008F0D6C"/>
    <w:rsid w:val="008F3427"/>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1A3F"/>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592"/>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1F70"/>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7098"/>
    <w:rsid w:val="00B97634"/>
    <w:rsid w:val="00BA2DEF"/>
    <w:rsid w:val="00BA57F3"/>
    <w:rsid w:val="00BA683B"/>
    <w:rsid w:val="00BA69F5"/>
    <w:rsid w:val="00BA72B9"/>
    <w:rsid w:val="00BA7379"/>
    <w:rsid w:val="00BB35C8"/>
    <w:rsid w:val="00BB5064"/>
    <w:rsid w:val="00BC01ED"/>
    <w:rsid w:val="00BC1E79"/>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54"/>
    <w:rsid w:val="00C76B82"/>
    <w:rsid w:val="00C77650"/>
    <w:rsid w:val="00C801AF"/>
    <w:rsid w:val="00C826DE"/>
    <w:rsid w:val="00C8542B"/>
    <w:rsid w:val="00C858F8"/>
    <w:rsid w:val="00C87799"/>
    <w:rsid w:val="00C93B2E"/>
    <w:rsid w:val="00C93CCD"/>
    <w:rsid w:val="00C94B12"/>
    <w:rsid w:val="00C94EF0"/>
    <w:rsid w:val="00C950E7"/>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B1B"/>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09E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AE5"/>
    <w:rsid w:val="00E30005"/>
    <w:rsid w:val="00E31807"/>
    <w:rsid w:val="00E32DA9"/>
    <w:rsid w:val="00E36A20"/>
    <w:rsid w:val="00E37F1A"/>
    <w:rsid w:val="00E40302"/>
    <w:rsid w:val="00E42871"/>
    <w:rsid w:val="00E42E5D"/>
    <w:rsid w:val="00E431A4"/>
    <w:rsid w:val="00E443C7"/>
    <w:rsid w:val="00E44CD7"/>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5222"/>
    <w:rsid w:val="00E77284"/>
    <w:rsid w:val="00E8126E"/>
    <w:rsid w:val="00E8129E"/>
    <w:rsid w:val="00E81D5F"/>
    <w:rsid w:val="00E82643"/>
    <w:rsid w:val="00E85730"/>
    <w:rsid w:val="00E85878"/>
    <w:rsid w:val="00E867F9"/>
    <w:rsid w:val="00E8697B"/>
    <w:rsid w:val="00E97548"/>
    <w:rsid w:val="00EA070F"/>
    <w:rsid w:val="00EA4AD9"/>
    <w:rsid w:val="00EA5FF2"/>
    <w:rsid w:val="00EA62A4"/>
    <w:rsid w:val="00EB2B68"/>
    <w:rsid w:val="00EB2BD9"/>
    <w:rsid w:val="00EB4A00"/>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3946"/>
    <w:rsid w:val="00FE54FF"/>
    <w:rsid w:val="00FF31AC"/>
    <w:rsid w:val="00FF5B26"/>
    <w:rsid w:val="00FF611C"/>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curement.uark.edu/forms.php" TargetMode="External"/><Relationship Id="rId4" Type="http://schemas.openxmlformats.org/officeDocument/2006/relationships/settings" Target="settings.xml"/><Relationship Id="rId9" Type="http://schemas.openxmlformats.org/officeDocument/2006/relationships/hyperlink" Target="https://www.transform.ar.gov/wp-content/uploads/2020/04/technologyAccessClaus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6686</Words>
  <Characters>37620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44218</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5</cp:revision>
  <cp:lastPrinted>2024-07-03T15:10:00Z</cp:lastPrinted>
  <dcterms:created xsi:type="dcterms:W3CDTF">2025-02-24T15:26:00Z</dcterms:created>
  <dcterms:modified xsi:type="dcterms:W3CDTF">2025-02-24T15:28:00Z</dcterms:modified>
</cp:coreProperties>
</file>