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67915239" w:rsidR="00653B47" w:rsidRPr="00982116" w:rsidRDefault="00973D43" w:rsidP="00B56E2B">
            <w:pPr>
              <w:rPr>
                <w:sz w:val="21"/>
                <w:szCs w:val="21"/>
              </w:rPr>
            </w:pPr>
            <w:r>
              <w:rPr>
                <w:sz w:val="21"/>
                <w:szCs w:val="21"/>
              </w:rPr>
              <w:t>FAMA</w:t>
            </w:r>
          </w:p>
        </w:tc>
        <w:tc>
          <w:tcPr>
            <w:tcW w:w="1268" w:type="pct"/>
          </w:tcPr>
          <w:p w14:paraId="367DF91A" w14:textId="13C24EF2" w:rsidR="00653B47" w:rsidRPr="00982116" w:rsidRDefault="00973D43" w:rsidP="00B56E2B">
            <w:pPr>
              <w:rPr>
                <w:sz w:val="21"/>
                <w:szCs w:val="21"/>
              </w:rPr>
            </w:pPr>
            <w:r>
              <w:rPr>
                <w:sz w:val="21"/>
                <w:szCs w:val="21"/>
              </w:rPr>
              <w:t>Ellen Ferguson</w:t>
            </w:r>
          </w:p>
        </w:tc>
        <w:tc>
          <w:tcPr>
            <w:tcW w:w="919" w:type="pct"/>
          </w:tcPr>
          <w:p w14:paraId="19CA278D" w14:textId="559D0FC0" w:rsidR="00653B47" w:rsidRPr="00982116" w:rsidRDefault="00973D43" w:rsidP="00B56E2B">
            <w:pPr>
              <w:rPr>
                <w:sz w:val="21"/>
                <w:szCs w:val="21"/>
              </w:rPr>
            </w:pPr>
            <w:r>
              <w:rPr>
                <w:sz w:val="21"/>
                <w:szCs w:val="21"/>
              </w:rPr>
              <w:t>07/22/2025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2CC56AD3" w:rsidR="00653B47" w:rsidRPr="00982116" w:rsidRDefault="00973D43" w:rsidP="00B56E2B">
            <w:pPr>
              <w:rPr>
                <w:sz w:val="21"/>
                <w:szCs w:val="21"/>
              </w:rPr>
            </w:pPr>
            <w:r>
              <w:rPr>
                <w:sz w:val="21"/>
                <w:szCs w:val="21"/>
              </w:rPr>
              <w:t>IFB07072025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7A614DCB" w:rsidR="0082577A" w:rsidRPr="00982116" w:rsidRDefault="00756333" w:rsidP="00B56E2B">
            <w:pPr>
              <w:rPr>
                <w:sz w:val="21"/>
                <w:szCs w:val="21"/>
              </w:rPr>
            </w:pPr>
            <w:r>
              <w:rPr>
                <w:sz w:val="21"/>
                <w:szCs w:val="21"/>
              </w:rPr>
              <w:t>Fo</w:t>
            </w:r>
            <w:r w:rsidR="00887213">
              <w:rPr>
                <w:sz w:val="21"/>
                <w:szCs w:val="21"/>
              </w:rPr>
              <w:t>ur Small Pickup</w:t>
            </w:r>
            <w:r>
              <w:rPr>
                <w:sz w:val="21"/>
                <w:szCs w:val="21"/>
              </w:rPr>
              <w:t xml:space="preserve"> Trucks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r w:rsidRPr="006E40FA">
        <w:t xml:space="preserve">IF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r w:rsidRPr="004E0B04">
        <w:rPr>
          <w:rFonts w:ascii="Minion Pro" w:hAnsi="Minion Pro"/>
        </w:rPr>
        <w:t>Employ</w:t>
      </w:r>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887213"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887213"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887213"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887213"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8E1B8DC"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973D43">
                            <w:rPr>
                              <w:rFonts w:ascii="Myriad" w:hAnsi="Myriad"/>
                              <w:b/>
                              <w:bCs/>
                              <w:sz w:val="18"/>
                              <w:szCs w:val="18"/>
                            </w:rPr>
                            <w:t>07072025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8E1B8DC"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973D43">
                      <w:rPr>
                        <w:rFonts w:ascii="Myriad" w:hAnsi="Myriad"/>
                        <w:b/>
                        <w:bCs/>
                        <w:sz w:val="18"/>
                        <w:szCs w:val="18"/>
                      </w:rPr>
                      <w:t>07072025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2B3B"/>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33"/>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87213"/>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43"/>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21F0"/>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2D8"/>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6293</Words>
  <Characters>35158</Characters>
  <Application>Microsoft Office Word</Application>
  <DocSecurity>0</DocSecurity>
  <Lines>3515</Lines>
  <Paragraphs>1658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39793</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6</cp:revision>
  <cp:lastPrinted>2024-07-03T15:10:00Z</cp:lastPrinted>
  <dcterms:created xsi:type="dcterms:W3CDTF">2025-07-08T16:13:00Z</dcterms:created>
  <dcterms:modified xsi:type="dcterms:W3CDTF">2025-07-08T16:22:00Z</dcterms:modified>
</cp:coreProperties>
</file>