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79"/>
        <w:gridCol w:w="2731"/>
        <w:gridCol w:w="1979"/>
        <w:gridCol w:w="3170"/>
        <w:gridCol w:w="2031"/>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3066E4D6" w:rsidR="00653B47" w:rsidRPr="00982116" w:rsidRDefault="00271C8F" w:rsidP="00B56E2B">
            <w:pPr>
              <w:rPr>
                <w:sz w:val="21"/>
                <w:szCs w:val="21"/>
              </w:rPr>
            </w:pPr>
            <w:r>
              <w:rPr>
                <w:sz w:val="21"/>
                <w:szCs w:val="21"/>
              </w:rPr>
              <w:t>AREON</w:t>
            </w:r>
          </w:p>
        </w:tc>
        <w:tc>
          <w:tcPr>
            <w:tcW w:w="1268" w:type="pct"/>
          </w:tcPr>
          <w:p w14:paraId="367DF91A" w14:textId="31B77BBE" w:rsidR="00653B47" w:rsidRPr="00982116" w:rsidRDefault="00271C8F" w:rsidP="00B56E2B">
            <w:pPr>
              <w:rPr>
                <w:sz w:val="21"/>
                <w:szCs w:val="21"/>
              </w:rPr>
            </w:pPr>
            <w:r>
              <w:rPr>
                <w:sz w:val="21"/>
                <w:szCs w:val="21"/>
              </w:rPr>
              <w:t>Ed Beadles</w:t>
            </w:r>
          </w:p>
        </w:tc>
        <w:tc>
          <w:tcPr>
            <w:tcW w:w="919" w:type="pct"/>
          </w:tcPr>
          <w:p w14:paraId="19CA278D" w14:textId="68637752" w:rsidR="00653B47" w:rsidRPr="00982116" w:rsidRDefault="00EF41D3" w:rsidP="00B56E2B">
            <w:pPr>
              <w:rPr>
                <w:sz w:val="21"/>
                <w:szCs w:val="21"/>
              </w:rPr>
            </w:pPr>
            <w:r>
              <w:rPr>
                <w:sz w:val="21"/>
                <w:szCs w:val="21"/>
              </w:rPr>
              <w:t>July 02, 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01399D2B" w:rsidR="00653B47" w:rsidRPr="00982116" w:rsidRDefault="00271C8F" w:rsidP="00B56E2B">
            <w:pPr>
              <w:rPr>
                <w:sz w:val="21"/>
                <w:szCs w:val="21"/>
              </w:rPr>
            </w:pPr>
            <w:r>
              <w:rPr>
                <w:sz w:val="21"/>
                <w:szCs w:val="21"/>
              </w:rPr>
              <w:t>05302025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081C7D7D" w:rsidR="0082577A" w:rsidRPr="00982116" w:rsidRDefault="003025F1" w:rsidP="00B56E2B">
            <w:pPr>
              <w:rPr>
                <w:sz w:val="21"/>
                <w:szCs w:val="21"/>
              </w:rPr>
            </w:pPr>
            <w:r>
              <w:rPr>
                <w:sz w:val="21"/>
                <w:szCs w:val="21"/>
              </w:rPr>
              <w:t>ARE-ON Sevier County Medical Center Connection</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w:t>
      </w:r>
      <w:proofErr w:type="gramStart"/>
      <w:r w:rsidRPr="00413BD7">
        <w:rPr>
          <w:bCs/>
          <w:sz w:val="21"/>
          <w:szCs w:val="21"/>
        </w:rPr>
        <w:t>Arkansas</w:t>
      </w:r>
      <w:proofErr w:type="gramEnd"/>
      <w:r w:rsidRPr="00413BD7">
        <w:rPr>
          <w:bCs/>
          <w:sz w:val="21"/>
          <w:szCs w:val="21"/>
        </w:rPr>
        <w:t xml:space="preserve">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 xml:space="preserve">By signing below, </w:t>
      </w:r>
      <w:proofErr w:type="gramStart"/>
      <w:r w:rsidRPr="00413BD7">
        <w:rPr>
          <w:b/>
          <w:sz w:val="21"/>
          <w:szCs w:val="21"/>
        </w:rPr>
        <w:t>bidder</w:t>
      </w:r>
      <w:proofErr w:type="gramEnd"/>
      <w:r w:rsidRPr="00413BD7">
        <w:rPr>
          <w:b/>
          <w:sz w:val="21"/>
          <w:szCs w:val="21"/>
        </w:rPr>
        <w:t xml:space="preserve">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proofErr w:type="gramStart"/>
      <w:r w:rsidR="00772DAB">
        <w:rPr>
          <w:szCs w:val="22"/>
        </w:rPr>
        <w:t>b</w:t>
      </w:r>
      <w:r w:rsidRPr="00772DAB">
        <w:rPr>
          <w:szCs w:val="22"/>
        </w:rPr>
        <w:t xml:space="preserve">e in </w:t>
      </w:r>
      <w:r w:rsidR="00772DAB">
        <w:rPr>
          <w:szCs w:val="22"/>
        </w:rPr>
        <w:t>c</w:t>
      </w:r>
      <w:r w:rsidRPr="00772DAB">
        <w:rPr>
          <w:szCs w:val="22"/>
        </w:rPr>
        <w:t>ompliance with</w:t>
      </w:r>
      <w:proofErr w:type="gramEnd"/>
      <w:r w:rsidRPr="00772DAB">
        <w:rPr>
          <w:szCs w:val="22"/>
        </w:rPr>
        <w:t xml:space="preserve">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 xml:space="preserve">Preparation </w:t>
      </w:r>
      <w:proofErr w:type="gramStart"/>
      <w:r w:rsidRPr="008272C1">
        <w:rPr>
          <w:rFonts w:ascii="Minion" w:hAnsi="Minion"/>
          <w:b/>
          <w:bCs/>
        </w:rPr>
        <w:t>of</w:t>
      </w:r>
      <w:proofErr w:type="gramEnd"/>
      <w:r w:rsidRPr="008272C1">
        <w:rPr>
          <w:rFonts w:ascii="Minion" w:hAnsi="Minion"/>
          <w:b/>
          <w:bCs/>
        </w:rPr>
        <w:t xml:space="preserve">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Failure to examine any drawings, specifications, and instructions will be </w:t>
      </w:r>
      <w:proofErr w:type="gramStart"/>
      <w:r w:rsidRPr="00C6049D">
        <w:rPr>
          <w:rFonts w:ascii="Minion" w:hAnsi="Minion"/>
        </w:rPr>
        <w:t>at bidder’s</w:t>
      </w:r>
      <w:proofErr w:type="gramEnd"/>
      <w:r w:rsidRPr="00C6049D">
        <w:rPr>
          <w:rFonts w:ascii="Minion" w:hAnsi="Minion"/>
        </w:rPr>
        <w:t xml:space="preserve">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 xml:space="preserve">No </w:t>
      </w:r>
      <w:proofErr w:type="gramStart"/>
      <w:r w:rsidRPr="00C6049D">
        <w:rPr>
          <w:rFonts w:ascii="Minion" w:hAnsi="Minion"/>
        </w:rPr>
        <w:t>erasures</w:t>
      </w:r>
      <w:proofErr w:type="gramEnd"/>
      <w:r w:rsidRPr="00C6049D">
        <w:rPr>
          <w:rFonts w:ascii="Minion" w:hAnsi="Minion"/>
        </w:rPr>
        <w:t xml:space="preserve"> permitted</w:t>
      </w:r>
      <w:r w:rsidR="00794694" w:rsidRPr="00C6049D">
        <w:rPr>
          <w:rFonts w:ascii="Minion" w:hAnsi="Minion"/>
        </w:rPr>
        <w:t xml:space="preserve">. </w:t>
      </w:r>
      <w:r w:rsidRPr="00C6049D">
        <w:rPr>
          <w:rFonts w:ascii="Minion" w:hAnsi="Minion"/>
        </w:rPr>
        <w:t xml:space="preserve">Errors may be crossed out and corrections printed in ink or typewritten adjacent and must be initialed in ink by </w:t>
      </w:r>
      <w:proofErr w:type="gramStart"/>
      <w:r w:rsidRPr="00C6049D">
        <w:rPr>
          <w:rFonts w:ascii="Minion" w:hAnsi="Minion"/>
        </w:rPr>
        <w:t>person</w:t>
      </w:r>
      <w:proofErr w:type="gramEnd"/>
      <w:r w:rsidRPr="00C6049D">
        <w:rPr>
          <w:rFonts w:ascii="Minion" w:hAnsi="Minion"/>
        </w:rPr>
        <w:t xml:space="preserve">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 xml:space="preserve">If the bidder takes no exception to the specifications, </w:t>
      </w:r>
      <w:proofErr w:type="gramStart"/>
      <w:r w:rsidRPr="00C6049D">
        <w:rPr>
          <w:rFonts w:ascii="Minion" w:hAnsi="Minion"/>
        </w:rPr>
        <w:t>bidder</w:t>
      </w:r>
      <w:proofErr w:type="gramEnd"/>
      <w:r w:rsidRPr="00C6049D">
        <w:rPr>
          <w:rFonts w:ascii="Minion" w:hAnsi="Minion"/>
        </w:rPr>
        <w:t xml:space="preserve">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Bids, modifications, or </w:t>
      </w:r>
      <w:proofErr w:type="gramStart"/>
      <w:r w:rsidRPr="00C6049D">
        <w:rPr>
          <w:rFonts w:ascii="Minion" w:hAnsi="Minion"/>
        </w:rPr>
        <w:t>corrections thereof</w:t>
      </w:r>
      <w:proofErr w:type="gramEnd"/>
      <w:r w:rsidRPr="00C6049D">
        <w:rPr>
          <w:rFonts w:ascii="Minion" w:hAnsi="Minion"/>
        </w:rPr>
        <w:t xml:space="preserve">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 xml:space="preserve">niversity work hours only, 8:00 a.m. to 4:30 p.m., unless prior approval for other </w:t>
      </w:r>
      <w:proofErr w:type="gramStart"/>
      <w:r w:rsidRPr="00C6049D">
        <w:rPr>
          <w:rFonts w:ascii="Minion" w:hAnsi="Minion"/>
        </w:rPr>
        <w:t>shipment</w:t>
      </w:r>
      <w:proofErr w:type="gramEnd"/>
      <w:r w:rsidRPr="00C6049D">
        <w:rPr>
          <w:rFonts w:ascii="Minion" w:hAnsi="Minion"/>
        </w:rPr>
        <w:t xml:space="preserve">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 xml:space="preserve">During </w:t>
      </w:r>
      <w:proofErr w:type="gramStart"/>
      <w:r w:rsidRPr="00C6049D">
        <w:rPr>
          <w:rFonts w:ascii="Minion" w:hAnsi="Minion"/>
        </w:rPr>
        <w:t>manufacture</w:t>
      </w:r>
      <w:proofErr w:type="gramEnd"/>
      <w:r w:rsidRPr="00C6049D">
        <w:rPr>
          <w:rFonts w:ascii="Minion" w:hAnsi="Minion"/>
        </w:rPr>
        <w:t>,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w:t>
      </w:r>
      <w:proofErr w:type="gramStart"/>
      <w:r w:rsidRPr="00C6049D">
        <w:rPr>
          <w:rFonts w:ascii="Minion" w:hAnsi="Minion"/>
        </w:rPr>
        <w:t>days</w:t>
      </w:r>
      <w:proofErr w:type="gramEnd"/>
      <w:r w:rsidRPr="00C6049D">
        <w:rPr>
          <w:rFonts w:ascii="Minion" w:hAnsi="Minion"/>
        </w:rPr>
        <w:t xml:space="preserve">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w:t>
      </w:r>
      <w:proofErr w:type="gramStart"/>
      <w:r w:rsidRPr="00C6049D">
        <w:rPr>
          <w:rFonts w:ascii="Minion" w:hAnsi="Minion"/>
        </w:rPr>
        <w:t>increase</w:t>
      </w:r>
      <w:proofErr w:type="gramEnd"/>
      <w:r w:rsidRPr="00C6049D">
        <w:rPr>
          <w:rFonts w:ascii="Minion" w:hAnsi="Minion"/>
        </w:rPr>
        <w:t xml:space="preserv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orders that were prepared and dated prior to the date of expiration or cancellation if received by the contractor within </w:t>
      </w:r>
      <w:proofErr w:type="gramStart"/>
      <w:r w:rsidRPr="00C6049D">
        <w:rPr>
          <w:rFonts w:ascii="Minion" w:hAnsi="Minion"/>
        </w:rPr>
        <w:t>period</w:t>
      </w:r>
      <w:proofErr w:type="gramEnd"/>
      <w:r w:rsidRPr="00C6049D">
        <w:rPr>
          <w:rFonts w:ascii="Minion" w:hAnsi="Minion"/>
        </w:rPr>
        <w:t xml:space="preserve">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w:t>
      </w:r>
      <w:proofErr w:type="gramStart"/>
      <w:r w:rsidRPr="00C6049D">
        <w:rPr>
          <w:rFonts w:ascii="Minion" w:hAnsi="Minion"/>
        </w:rPr>
        <w:t>alternate</w:t>
      </w:r>
      <w:proofErr w:type="gramEnd"/>
      <w:r w:rsidRPr="00C6049D">
        <w:rPr>
          <w:rFonts w:ascii="Minion" w:hAnsi="Minion"/>
        </w:rPr>
        <w:t xml:space="preserv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w:t>
      </w:r>
      <w:proofErr w:type="gramStart"/>
      <w:r w:rsidRPr="006E40FA">
        <w:t xml:space="preserve">The </w:t>
      </w:r>
      <w:proofErr w:type="spellStart"/>
      <w:r w:rsidRPr="006E40FA">
        <w:t>UofA</w:t>
      </w:r>
      <w:proofErr w:type="spellEnd"/>
      <w:proofErr w:type="gram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proofErr w:type="gramStart"/>
      <w:r w:rsidRPr="006E40FA">
        <w:t>IF</w:t>
      </w:r>
      <w:proofErr w:type="gramEnd"/>
      <w:r w:rsidRPr="006E40FA">
        <w:t xml:space="preserve"> submitting proprietary information in response to this IFB, it will be processed in accordance with </w:t>
      </w:r>
      <w:proofErr w:type="gramStart"/>
      <w:r w:rsidRPr="006E40FA">
        <w:t>applicable</w:t>
      </w:r>
      <w:proofErr w:type="gramEnd"/>
      <w:r w:rsidRPr="006E40FA">
        <w:t xml:space="preserv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w:t>
      </w:r>
      <w:proofErr w:type="gramStart"/>
      <w:r w:rsidRPr="006E40FA">
        <w:t>applicable</w:t>
      </w:r>
      <w:proofErr w:type="gramEnd"/>
      <w:r w:rsidRPr="006E40FA">
        <w:t xml:space="preserv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w:t>
      </w:r>
      <w:proofErr w:type="gramStart"/>
      <w:r w:rsidRPr="006E40FA">
        <w:t>enter into</w:t>
      </w:r>
      <w:proofErr w:type="gramEnd"/>
      <w:r w:rsidRPr="006E40FA">
        <w:t xml:space="preserve"> any contract for which disclosure is not made</w:t>
      </w:r>
      <w:r w:rsidR="00F73341" w:rsidRPr="006E40FA">
        <w:t xml:space="preserve">. </w:t>
      </w:r>
      <w:r w:rsidRPr="006E40FA">
        <w:t xml:space="preserve">Arkansas’s Executive Order 98-04 requires all potential contractors </w:t>
      </w:r>
      <w:proofErr w:type="gramStart"/>
      <w:r w:rsidRPr="006E40FA">
        <w:t>disclose</w:t>
      </w:r>
      <w:proofErr w:type="gramEnd"/>
      <w:r w:rsidRPr="006E40FA">
        <w:t xml:space="preserv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proofErr w:type="gramStart"/>
      <w:r w:rsidRPr="006E40FA">
        <w:t>Supplier</w:t>
      </w:r>
      <w:r w:rsidR="00985C18" w:rsidRPr="006E40FA">
        <w:t xml:space="preserve"> agrees</w:t>
      </w:r>
      <w:proofErr w:type="gramEnd"/>
      <w:r w:rsidR="00985C18" w:rsidRPr="006E40FA">
        <w:t xml:space="preserve">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 xml:space="preserve">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w:t>
      </w:r>
      <w:proofErr w:type="gramStart"/>
      <w:r w:rsidRPr="006E40FA">
        <w:t>amount</w:t>
      </w:r>
      <w:proofErr w:type="gramEnd"/>
      <w:r w:rsidRPr="006E40FA">
        <w:t xml:space="preserve">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proofErr w:type="gramStart"/>
      <w:r w:rsidRPr="006E40FA">
        <w:t>In the event that</w:t>
      </w:r>
      <w:proofErr w:type="gramEnd"/>
      <w:r w:rsidRPr="006E40FA">
        <w:t xml:space="preserve">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proofErr w:type="gramStart"/>
      <w:r w:rsidR="00A04815" w:rsidRPr="006E40FA">
        <w:t>Supplier</w:t>
      </w:r>
      <w:proofErr w:type="gramEnd"/>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proofErr w:type="gramStart"/>
      <w:r w:rsidR="00A04815" w:rsidRPr="006E40FA">
        <w:t>Supplier</w:t>
      </w:r>
      <w:proofErr w:type="gramEnd"/>
      <w:r w:rsidRPr="006E40FA">
        <w:t xml:space="preserve"> shall return, or, at the University’s discretion, delete all personal data obtained from the University (and any copies thereof) at the end of the contract and submit whatever information the University needs to ensure that both parties </w:t>
      </w:r>
      <w:proofErr w:type="gramStart"/>
      <w:r w:rsidRPr="006E40FA">
        <w:t>are meeting</w:t>
      </w:r>
      <w:proofErr w:type="gramEnd"/>
      <w:r w:rsidRPr="006E40FA">
        <w:t xml:space="preserve">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 xml:space="preserve">Respondents must address each of the requirements of this bid request which is in the format of an Invitation </w:t>
      </w:r>
      <w:proofErr w:type="gramStart"/>
      <w:r w:rsidRPr="006E40FA">
        <w:t>for</w:t>
      </w:r>
      <w:proofErr w:type="gramEnd"/>
      <w:r w:rsidRPr="006E40FA">
        <w:t xml:space="preserve">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w:t>
      </w:r>
      <w:proofErr w:type="gramStart"/>
      <w:r w:rsidRPr="00AD7FD9">
        <w:rPr>
          <w:szCs w:val="22"/>
        </w:rPr>
        <w:t>Arkansas</w:t>
      </w:r>
      <w:proofErr w:type="gramEnd"/>
      <w:r w:rsidRPr="00AD7FD9">
        <w:rPr>
          <w:szCs w:val="22"/>
        </w:rPr>
        <w:t xml:space="preserve">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proofErr w:type="gramStart"/>
      <w:r w:rsidR="00F97A8B" w:rsidRPr="00AD7FD9">
        <w:rPr>
          <w:szCs w:val="22"/>
        </w:rPr>
        <w:t>entering into</w:t>
      </w:r>
      <w:proofErr w:type="gramEnd"/>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proofErr w:type="gramStart"/>
      <w:r w:rsidR="00F97A8B" w:rsidRPr="00AD7FD9">
        <w:rPr>
          <w:szCs w:val="22"/>
        </w:rPr>
        <w:t>entering into</w:t>
      </w:r>
      <w:proofErr w:type="gramEnd"/>
      <w:r w:rsidRPr="00AD7FD9">
        <w:rPr>
          <w:szCs w:val="22"/>
        </w:rPr>
        <w:t xml:space="preserve"> a service contract as outlined above. Submit this completed and signed form, and </w:t>
      </w:r>
      <w:proofErr w:type="gramStart"/>
      <w:r w:rsidRPr="00AD7FD9">
        <w:rPr>
          <w:szCs w:val="22"/>
        </w:rPr>
        <w:t>associated</w:t>
      </w:r>
      <w:proofErr w:type="gramEnd"/>
      <w:r w:rsidRPr="00AD7FD9">
        <w:rPr>
          <w:szCs w:val="22"/>
        </w:rPr>
        <w:t xml:space="preserve">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proofErr w:type="spellStart"/>
      <w:r w:rsidRPr="00BF6EA6">
        <w:rPr>
          <w:szCs w:val="22"/>
        </w:rPr>
        <w:t>i</w:t>
      </w:r>
      <w:proofErr w:type="spellEnd"/>
      <w:r w:rsidRPr="00BF6EA6">
        <w:rPr>
          <w:szCs w:val="22"/>
        </w:rPr>
        <w:t>)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w:t>
      </w:r>
      <w:proofErr w:type="spellStart"/>
      <w:r w:rsidRPr="00BF6EA6">
        <w:rPr>
          <w:szCs w:val="22"/>
        </w:rPr>
        <w:t>i</w:t>
      </w:r>
      <w:proofErr w:type="spellEnd"/>
      <w:r w:rsidRPr="00BF6EA6">
        <w:rPr>
          <w:szCs w:val="22"/>
        </w:rPr>
        <w:t>)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 xml:space="preserve">Each Bidder must provide a list of all business </w:t>
      </w:r>
      <w:proofErr w:type="gramStart"/>
      <w:r w:rsidRPr="00BF6EA6">
        <w:rPr>
          <w:szCs w:val="22"/>
        </w:rPr>
        <w:t>activity</w:t>
      </w:r>
      <w:proofErr w:type="gramEnd"/>
      <w:r w:rsidRPr="00BF6EA6">
        <w:rPr>
          <w:szCs w:val="22"/>
        </w:rPr>
        <w:t xml:space="preserve">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 xml:space="preserve">By signing this form, the Contractor agrees and certifies they are not a Scrutinized </w:t>
      </w:r>
      <w:proofErr w:type="gramStart"/>
      <w:r w:rsidRPr="00C34CE0">
        <w:rPr>
          <w:szCs w:val="22"/>
        </w:rPr>
        <w:t>Company</w:t>
      </w:r>
      <w:proofErr w:type="gramEnd"/>
      <w:r w:rsidRPr="00C34CE0">
        <w:rPr>
          <w:szCs w:val="22"/>
        </w:rPr>
        <w:t xml:space="preserve">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proofErr w:type="gramStart"/>
      <w:r w:rsidRPr="004E0B04">
        <w:rPr>
          <w:rFonts w:ascii="Minion Pro" w:hAnsi="Minion Pro"/>
        </w:rPr>
        <w:t>Employ</w:t>
      </w:r>
      <w:proofErr w:type="gramEnd"/>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3025F1"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3025F1"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3025F1"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3025F1"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xml:space="preserve">. Subcontractor shall mean any person or entity with whom I </w:t>
      </w:r>
      <w:proofErr w:type="gramStart"/>
      <w:r w:rsidRPr="00A1685F">
        <w:rPr>
          <w:rFonts w:ascii="Minion" w:eastAsia="Arial" w:hAnsi="Minion"/>
        </w:rPr>
        <w:t>enter</w:t>
      </w:r>
      <w:proofErr w:type="gramEnd"/>
      <w:r w:rsidRPr="00A1685F">
        <w:rPr>
          <w:rFonts w:ascii="Minion" w:eastAsia="Arial" w:hAnsi="Minion"/>
        </w:rPr>
        <w:t xml:space="preserve">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w:t>
      </w:r>
      <w:proofErr w:type="gramStart"/>
      <w:r w:rsidRPr="00A1685F">
        <w:rPr>
          <w:rFonts w:ascii="Minion" w:eastAsia="Arial" w:hAnsi="Minion"/>
        </w:rPr>
        <w:t>subsequent to</w:t>
      </w:r>
      <w:proofErr w:type="gramEnd"/>
      <w:r w:rsidRPr="00A1685F">
        <w:rPr>
          <w:rFonts w:ascii="Minion" w:eastAsia="Arial" w:hAnsi="Minion"/>
        </w:rPr>
        <w:t xml:space="preserve">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D8630" w14:textId="77777777" w:rsidR="00C60B1B" w:rsidRDefault="00C60B1B">
      <w:r>
        <w:separator/>
      </w:r>
    </w:p>
  </w:endnote>
  <w:endnote w:type="continuationSeparator" w:id="0">
    <w:p w14:paraId="53E599FB" w14:textId="77777777" w:rsidR="00C60B1B" w:rsidRDefault="00C6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89F7" w14:textId="77777777" w:rsidR="00C60B1B" w:rsidRDefault="00C60B1B">
      <w:r>
        <w:separator/>
      </w:r>
    </w:p>
  </w:footnote>
  <w:footnote w:type="continuationSeparator" w:id="0">
    <w:p w14:paraId="4879C291" w14:textId="77777777" w:rsidR="00C60B1B" w:rsidRDefault="00C6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71F66AC7"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271C8F">
                            <w:rPr>
                              <w:rFonts w:ascii="Myriad" w:hAnsi="Myriad"/>
                              <w:b/>
                              <w:bCs/>
                              <w:sz w:val="18"/>
                              <w:szCs w:val="18"/>
                            </w:rPr>
                            <w:t>05302025</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71F66AC7"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271C8F">
                      <w:rPr>
                        <w:rFonts w:ascii="Myriad" w:hAnsi="Myriad"/>
                        <w:b/>
                        <w:bCs/>
                        <w:sz w:val="18"/>
                        <w:szCs w:val="18"/>
                      </w:rPr>
                      <w:t>05302025</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48B3"/>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D734B"/>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C8F"/>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5F1"/>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43C4"/>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0B1B"/>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1D3"/>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6297</Words>
  <Characters>35173</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41388</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2025-05-30T18:38:00Z</dcterms:created>
  <dcterms:modified xsi:type="dcterms:W3CDTF">2025-05-30T18:38:00Z</dcterms:modified>
</cp:coreProperties>
</file>