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51" w:rsidRDefault="00201D51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APPENDIX II</w:t>
      </w:r>
    </w:p>
    <w:p w:rsidR="00201D51" w:rsidRDefault="00201D51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OFFICIAL PRICE SHEET</w:t>
      </w:r>
    </w:p>
    <w:p w:rsidR="00201D51" w:rsidRDefault="00201D51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</w:rPr>
      </w:pPr>
      <w:bookmarkStart w:id="0" w:name="_GoBack"/>
      <w:bookmarkEnd w:id="0"/>
    </w:p>
    <w:p w:rsidR="00A2402C" w:rsidRPr="00E37845" w:rsidRDefault="00A2402C" w:rsidP="00A2402C">
      <w:pPr>
        <w:pStyle w:val="Title"/>
        <w:tabs>
          <w:tab w:val="left" w:pos="3665"/>
          <w:tab w:val="center" w:pos="5040"/>
        </w:tabs>
        <w:rPr>
          <w:rFonts w:ascii="Times New Roman" w:hAnsi="Times New Roman"/>
          <w:caps/>
        </w:rPr>
      </w:pPr>
      <w:r w:rsidRPr="00E37845">
        <w:rPr>
          <w:rFonts w:ascii="Times New Roman" w:hAnsi="Times New Roman"/>
          <w:caps/>
        </w:rPr>
        <w:t xml:space="preserve">Proposal </w:t>
      </w:r>
      <w:r>
        <w:rPr>
          <w:rFonts w:ascii="Times New Roman" w:hAnsi="Times New Roman"/>
          <w:caps/>
        </w:rPr>
        <w:t>form</w:t>
      </w:r>
    </w:p>
    <w:p w:rsidR="00A2402C" w:rsidRPr="00E37845" w:rsidRDefault="00A2402C" w:rsidP="00A2402C">
      <w:pPr>
        <w:pStyle w:val="Title"/>
        <w:rPr>
          <w:rFonts w:ascii="Times New Roman" w:hAnsi="Times New Roman"/>
          <w:caps/>
        </w:rPr>
      </w:pPr>
    </w:p>
    <w:p w:rsidR="00A2402C" w:rsidRPr="00E37845" w:rsidRDefault="00420360" w:rsidP="00A2402C">
      <w:pPr>
        <w:pStyle w:val="Title"/>
        <w:rPr>
          <w:rFonts w:ascii="Times New Roman" w:hAnsi="Times New Roman"/>
          <w:szCs w:val="22"/>
        </w:rPr>
      </w:pPr>
      <w:r>
        <w:rPr>
          <w:rFonts w:ascii="Times New Roman" w:hAnsi="Times New Roman"/>
          <w:caps/>
          <w:szCs w:val="22"/>
        </w:rPr>
        <w:t>arena</w:t>
      </w:r>
      <w:r w:rsidR="00A2402C">
        <w:rPr>
          <w:rFonts w:ascii="Times New Roman" w:hAnsi="Times New Roman"/>
          <w:caps/>
          <w:szCs w:val="22"/>
        </w:rPr>
        <w:t xml:space="preserve"> audio reinforcement sysems</w:t>
      </w:r>
      <w:r w:rsidR="00A2402C" w:rsidRPr="00E37845">
        <w:rPr>
          <w:rFonts w:ascii="Times New Roman" w:hAnsi="Times New Roman"/>
          <w:szCs w:val="22"/>
        </w:rPr>
        <w:t xml:space="preserve"> PROPOSAL FORM</w:t>
      </w:r>
    </w:p>
    <w:p w:rsidR="00A2402C" w:rsidRDefault="00A2402C" w:rsidP="00A2402C">
      <w:pPr>
        <w:pStyle w:val="StyleTimesNewRomanLeft033"/>
        <w:spacing w:line="360" w:lineRule="auto"/>
      </w:pPr>
      <w:r w:rsidRPr="002C2BBF">
        <w:t xml:space="preserve">The undersigned Offeror, in response to the </w:t>
      </w:r>
      <w:r>
        <w:t>Request for Proposal (</w:t>
      </w:r>
      <w:r w:rsidRPr="002C2BBF">
        <w:t>RFP</w:t>
      </w:r>
      <w:r>
        <w:t>)</w:t>
      </w:r>
      <w:r w:rsidRPr="002C2BBF">
        <w:t xml:space="preserve">, proposes to furnish all labor and material, and to perform all work necessary for completion of the work required for the above referenced </w:t>
      </w:r>
      <w:r>
        <w:t>proposal</w:t>
      </w:r>
      <w:r w:rsidRPr="002C2BBF">
        <w:t xml:space="preserve"> for </w:t>
      </w:r>
      <w:r>
        <w:t xml:space="preserve">the </w:t>
      </w:r>
      <w:r w:rsidR="00420360">
        <w:t>Arena</w:t>
      </w:r>
      <w:r>
        <w:t xml:space="preserve"> Audio Reinforcement Systems </w:t>
      </w:r>
      <w:r w:rsidRPr="002C2BBF">
        <w:t>in strict accordance with the Contract Documents for the base proposal sum of:</w:t>
      </w:r>
      <w:r>
        <w:t xml:space="preserve"> </w:t>
      </w:r>
      <w:r w:rsidRPr="002C2BBF">
        <w:t xml:space="preserve">________________________________________________ Dollars ($________________), </w:t>
      </w:r>
      <w:r>
        <w:t xml:space="preserve">inclusive </w:t>
      </w:r>
      <w:r w:rsidRPr="002C2BBF">
        <w:t>of taxes and if this proposal is accepted, will execute a formal contract equal in form to that bound in the Contract Documents to this effect</w:t>
      </w:r>
      <w:r>
        <w:t xml:space="preserve">. </w:t>
      </w:r>
    </w:p>
    <w:p w:rsidR="00A2402C" w:rsidRDefault="00A2402C" w:rsidP="00A2402C">
      <w:pPr>
        <w:pStyle w:val="StyleTimesNewRomanLeft033"/>
        <w:spacing w:after="120"/>
      </w:pPr>
      <w:r w:rsidRPr="00AD7ECB">
        <w:t xml:space="preserve">The following is a breakdown of </w:t>
      </w:r>
      <w:r>
        <w:t>the proposal: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7"/>
        <w:gridCol w:w="4314"/>
        <w:gridCol w:w="2160"/>
        <w:gridCol w:w="288"/>
      </w:tblGrid>
      <w:tr w:rsidR="00A2402C" w:rsidRPr="00640E3A" w:rsidTr="00317025">
        <w:trPr>
          <w:cantSplit/>
        </w:trPr>
        <w:tc>
          <w:tcPr>
            <w:tcW w:w="417" w:type="dxa"/>
          </w:tcPr>
          <w:p w:rsidR="00A2402C" w:rsidRPr="00640E3A" w:rsidRDefault="00A2402C" w:rsidP="00317025">
            <w:pPr>
              <w:spacing w:before="180"/>
              <w:jc w:val="both"/>
              <w:rPr>
                <w:b/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40E3A" w:rsidRDefault="00A2402C" w:rsidP="0031702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Phase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2402C" w:rsidRPr="00640E3A" w:rsidRDefault="00A2402C" w:rsidP="00317025">
            <w:pPr>
              <w:spacing w:before="18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Cost</w:t>
            </w:r>
          </w:p>
        </w:tc>
        <w:tc>
          <w:tcPr>
            <w:tcW w:w="288" w:type="dxa"/>
            <w:vAlign w:val="bottom"/>
          </w:tcPr>
          <w:p w:rsidR="00A2402C" w:rsidRPr="00640E3A" w:rsidRDefault="00A2402C" w:rsidP="00317025">
            <w:pPr>
              <w:spacing w:before="120"/>
              <w:rPr>
                <w:b/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D02A89" w:rsidRDefault="00A2402C" w:rsidP="00317025">
            <w:pPr>
              <w:spacing w:before="180"/>
              <w:jc w:val="both"/>
              <w:rPr>
                <w:b/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CA3B9F" w:rsidP="00317025">
            <w:pPr>
              <w:rPr>
                <w:szCs w:val="22"/>
              </w:rPr>
            </w:pPr>
            <w:r>
              <w:rPr>
                <w:szCs w:val="22"/>
              </w:rPr>
              <w:t>Base Proposal Equipment C</w:t>
            </w:r>
            <w:r w:rsidR="00A2402C" w:rsidRPr="00616C0B">
              <w:rPr>
                <w:szCs w:val="22"/>
              </w:rPr>
              <w:t>osts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4753D3" w:rsidRDefault="00A2402C" w:rsidP="00317025">
            <w:pPr>
              <w:spacing w:before="180"/>
              <w:jc w:val="both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A2402C" w:rsidP="00317025">
            <w:pPr>
              <w:rPr>
                <w:szCs w:val="22"/>
              </w:rPr>
            </w:pPr>
            <w:r w:rsidRPr="00616C0B">
              <w:rPr>
                <w:szCs w:val="22"/>
              </w:rPr>
              <w:t>Project Management, Engineering, non-labor issues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A2402C" w:rsidP="00317025">
            <w:pPr>
              <w:rPr>
                <w:szCs w:val="22"/>
              </w:rPr>
            </w:pPr>
            <w:r>
              <w:rPr>
                <w:szCs w:val="22"/>
              </w:rPr>
              <w:t>Material Costs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A2402C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A2402C" w:rsidRDefault="00A2402C" w:rsidP="00317025">
            <w:pPr>
              <w:rPr>
                <w:szCs w:val="22"/>
              </w:rPr>
            </w:pPr>
            <w:r w:rsidRPr="00A2402C">
              <w:rPr>
                <w:szCs w:val="22"/>
              </w:rPr>
              <w:t>Contingency</w:t>
            </w:r>
            <w:r>
              <w:rPr>
                <w:szCs w:val="22"/>
              </w:rPr>
              <w:t xml:space="preserve"> 15%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A2402C" w:rsidP="00317025">
            <w:pPr>
              <w:rPr>
                <w:szCs w:val="22"/>
              </w:rPr>
            </w:pPr>
            <w:r w:rsidRPr="00616C0B">
              <w:rPr>
                <w:szCs w:val="22"/>
              </w:rPr>
              <w:t>Off Site Labor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A2402C" w:rsidP="00317025">
            <w:pPr>
              <w:rPr>
                <w:szCs w:val="22"/>
              </w:rPr>
            </w:pPr>
            <w:r w:rsidRPr="00616C0B">
              <w:rPr>
                <w:szCs w:val="22"/>
              </w:rPr>
              <w:t>On Site Labor (own forces)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A2402C" w:rsidP="00317025">
            <w:pPr>
              <w:rPr>
                <w:szCs w:val="22"/>
              </w:rPr>
            </w:pPr>
            <w:r w:rsidRPr="00616C0B">
              <w:rPr>
                <w:szCs w:val="22"/>
              </w:rPr>
              <w:t>On Site Labor (subcontractors)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</w:tcPr>
          <w:p w:rsidR="00A2402C" w:rsidRPr="004753D3" w:rsidRDefault="00A2402C" w:rsidP="00317025">
            <w:pPr>
              <w:spacing w:before="180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616C0B" w:rsidRDefault="00A2402C" w:rsidP="00317025">
            <w:pPr>
              <w:rPr>
                <w:szCs w:val="22"/>
              </w:rPr>
            </w:pPr>
            <w:r w:rsidRPr="00616C0B">
              <w:rPr>
                <w:szCs w:val="22"/>
              </w:rPr>
              <w:t>Shipping, Transportation, handling, insurance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18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616C0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  <w:tcBorders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jc w:val="both"/>
              <w:rPr>
                <w:szCs w:val="22"/>
              </w:rPr>
            </w:pPr>
          </w:p>
        </w:tc>
        <w:tc>
          <w:tcPr>
            <w:tcW w:w="4314" w:type="dxa"/>
            <w:tcBorders>
              <w:bottom w:val="double" w:sz="4" w:space="0" w:color="auto"/>
            </w:tcBorders>
            <w:vAlign w:val="bottom"/>
          </w:tcPr>
          <w:p w:rsidR="00A2402C" w:rsidRPr="00A2402C" w:rsidRDefault="00A2402C" w:rsidP="00A2402C">
            <w:pPr>
              <w:spacing w:before="240"/>
              <w:rPr>
                <w:szCs w:val="22"/>
              </w:rPr>
            </w:pPr>
            <w:r w:rsidRPr="00A2402C">
              <w:rPr>
                <w:szCs w:val="22"/>
              </w:rPr>
              <w:t>Sales tax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  <w:tcBorders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jc w:val="both"/>
              <w:rPr>
                <w:szCs w:val="22"/>
              </w:rPr>
            </w:pPr>
          </w:p>
        </w:tc>
        <w:tc>
          <w:tcPr>
            <w:tcW w:w="4314" w:type="dxa"/>
            <w:tcBorders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jc w:val="right"/>
              <w:rPr>
                <w:b/>
                <w:szCs w:val="22"/>
              </w:rPr>
            </w:pPr>
            <w:r w:rsidRPr="00616C0B">
              <w:rPr>
                <w:b/>
                <w:szCs w:val="22"/>
              </w:rPr>
              <w:t>Base Proposal Total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88" w:type="dxa"/>
            <w:tcBorders>
              <w:bottom w:val="double" w:sz="4" w:space="0" w:color="auto"/>
            </w:tcBorders>
            <w:vAlign w:val="bottom"/>
          </w:tcPr>
          <w:p w:rsidR="00A2402C" w:rsidRPr="00616C0B" w:rsidRDefault="00A2402C" w:rsidP="00317025">
            <w:pPr>
              <w:spacing w:before="240"/>
              <w:rPr>
                <w:szCs w:val="22"/>
              </w:rPr>
            </w:pPr>
          </w:p>
        </w:tc>
      </w:tr>
      <w:tr w:rsidR="00A2402C" w:rsidRPr="004753D3" w:rsidTr="00317025">
        <w:trPr>
          <w:cantSplit/>
        </w:trPr>
        <w:tc>
          <w:tcPr>
            <w:tcW w:w="417" w:type="dxa"/>
            <w:vAlign w:val="bottom"/>
          </w:tcPr>
          <w:p w:rsidR="00A2402C" w:rsidRPr="00616C0B" w:rsidRDefault="00A2402C" w:rsidP="00317025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4314" w:type="dxa"/>
            <w:vAlign w:val="bottom"/>
          </w:tcPr>
          <w:p w:rsidR="00A2402C" w:rsidRPr="00B04E2A" w:rsidRDefault="00A2402C" w:rsidP="00317025">
            <w:pPr>
              <w:spacing w:before="240"/>
              <w:jc w:val="right"/>
              <w:rPr>
                <w:szCs w:val="22"/>
              </w:rPr>
            </w:pPr>
            <w:r w:rsidRPr="00A2402C">
              <w:rPr>
                <w:szCs w:val="22"/>
              </w:rPr>
              <w:t>Contingency</w:t>
            </w:r>
            <w:r>
              <w:rPr>
                <w:szCs w:val="22"/>
              </w:rPr>
              <w:t xml:space="preserve"> 15%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A2402C" w:rsidRPr="00FF193F" w:rsidRDefault="00A2402C" w:rsidP="00317025">
            <w:pPr>
              <w:spacing w:before="240"/>
              <w:jc w:val="right"/>
              <w:rPr>
                <w:szCs w:val="22"/>
              </w:rPr>
            </w:pPr>
          </w:p>
        </w:tc>
        <w:tc>
          <w:tcPr>
            <w:tcW w:w="288" w:type="dxa"/>
            <w:vAlign w:val="bottom"/>
          </w:tcPr>
          <w:p w:rsidR="00A2402C" w:rsidRPr="004753D3" w:rsidRDefault="00A2402C" w:rsidP="00317025">
            <w:pPr>
              <w:spacing w:before="240"/>
              <w:rPr>
                <w:szCs w:val="22"/>
              </w:rPr>
            </w:pPr>
          </w:p>
        </w:tc>
      </w:tr>
    </w:tbl>
    <w:p w:rsidR="00A2402C" w:rsidRPr="00825889" w:rsidRDefault="00A2402C" w:rsidP="00A2402C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825889">
        <w:rPr>
          <w:sz w:val="22"/>
          <w:szCs w:val="22"/>
        </w:rPr>
        <w:t>The undersigned Offeror further acknowledges receipt of the following addenda as listed below and represents that any ad</w:t>
      </w:r>
      <w:r>
        <w:rPr>
          <w:sz w:val="22"/>
          <w:szCs w:val="22"/>
        </w:rPr>
        <w:t>ditions</w:t>
      </w:r>
      <w:r w:rsidRPr="00825889">
        <w:rPr>
          <w:sz w:val="22"/>
          <w:szCs w:val="22"/>
        </w:rPr>
        <w:t xml:space="preserve"> or modifications to, or deletions from the work called for in these addenda, have been taken into consideration and included in the base proposal sum.</w:t>
      </w:r>
    </w:p>
    <w:p w:rsidR="00A2402C" w:rsidRPr="00825889" w:rsidRDefault="00A2402C" w:rsidP="00A2402C">
      <w:pPr>
        <w:ind w:left="480"/>
        <w:rPr>
          <w:sz w:val="22"/>
          <w:szCs w:val="22"/>
        </w:rPr>
      </w:pPr>
      <w:r w:rsidRPr="00825889">
        <w:rPr>
          <w:sz w:val="22"/>
          <w:szCs w:val="22"/>
        </w:rPr>
        <w:t>ADDENDA (</w:t>
      </w:r>
      <w:r w:rsidRPr="00825889">
        <w:rPr>
          <w:i/>
          <w:sz w:val="22"/>
          <w:szCs w:val="22"/>
          <w:u w:val="single"/>
        </w:rPr>
        <w:t>mark “None” if no addendum issued</w:t>
      </w:r>
      <w:r w:rsidRPr="00825889">
        <w:rPr>
          <w:sz w:val="22"/>
          <w:szCs w:val="22"/>
        </w:rPr>
        <w:t>):</w:t>
      </w:r>
    </w:p>
    <w:p w:rsidR="00A2402C" w:rsidRPr="002C2BBF" w:rsidRDefault="00A2402C" w:rsidP="00A2402C">
      <w:pPr>
        <w:pStyle w:val="StyleTimesNewRomanLeft033"/>
      </w:pPr>
      <w:r w:rsidRPr="002C2BBF">
        <w:tab/>
        <w:t>____________No. 1</w:t>
      </w:r>
      <w:r w:rsidRPr="002C2BBF">
        <w:tab/>
      </w:r>
      <w:r w:rsidRPr="002C2BBF">
        <w:tab/>
        <w:t>____________No. 2</w:t>
      </w:r>
      <w:r w:rsidRPr="002C2BBF">
        <w:tab/>
      </w:r>
      <w:r w:rsidRPr="002C2BBF">
        <w:tab/>
        <w:t>____________No. 3</w:t>
      </w:r>
    </w:p>
    <w:p w:rsidR="00A2402C" w:rsidRPr="002C2BBF" w:rsidRDefault="00A2402C" w:rsidP="00A2402C">
      <w:pPr>
        <w:pStyle w:val="StyleTimesNewRomanLeft033"/>
        <w:rPr>
          <w:szCs w:val="22"/>
        </w:rPr>
      </w:pPr>
      <w:r w:rsidRPr="002C2BBF">
        <w:tab/>
        <w:t>____________No. 4</w:t>
      </w:r>
      <w:r w:rsidRPr="002C2BBF">
        <w:tab/>
      </w:r>
      <w:r w:rsidRPr="002C2BBF">
        <w:tab/>
        <w:t>____________No. 5</w:t>
      </w:r>
      <w:r w:rsidRPr="002C2BBF">
        <w:tab/>
      </w:r>
      <w:r w:rsidRPr="002C2BBF">
        <w:tab/>
        <w:t>____________No. 6</w:t>
      </w:r>
    </w:p>
    <w:p w:rsidR="00A2402C" w:rsidRPr="002C2BBF" w:rsidRDefault="00A2402C" w:rsidP="00A2402C">
      <w:pPr>
        <w:pStyle w:val="StyleTimesNewRomanLeft033"/>
      </w:pPr>
      <w:r w:rsidRPr="002C2BBF">
        <w:t>All proposals must include the following properly completed documents; please verify that you have included the following</w:t>
      </w:r>
      <w:r>
        <w:t xml:space="preserve">. </w:t>
      </w:r>
      <w:r w:rsidRPr="002C2BBF">
        <w:t>See Instructions to Offerors for explanation of the required documents.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</w:pPr>
      <w:r>
        <w:tab/>
      </w:r>
      <w:r w:rsidRPr="002C2BBF">
        <w:t>Proposal Form;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>Design Build Contractor’s qualifications, as outlined within specification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>Construction schedule adherence statement for Design Build Contractor for the last 3 years.</w:t>
      </w:r>
    </w:p>
    <w:p w:rsidR="00A2402C" w:rsidRPr="002C2BBF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lastRenderedPageBreak/>
        <w:tab/>
      </w:r>
      <w:r w:rsidRPr="002C2BBF">
        <w:rPr>
          <w:szCs w:val="22"/>
        </w:rPr>
        <w:t>Letter from surety, indicating ability of Offeror to receive a payment and performance bond in the full proposal amount.</w:t>
      </w:r>
    </w:p>
    <w:p w:rsidR="00A2402C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</w:r>
      <w:r w:rsidRPr="002C2BBF">
        <w:rPr>
          <w:szCs w:val="22"/>
        </w:rPr>
        <w:t xml:space="preserve">Proposed project schedule </w:t>
      </w:r>
      <w:r>
        <w:rPr>
          <w:szCs w:val="22"/>
        </w:rPr>
        <w:t>and manpower loading</w:t>
      </w:r>
      <w:r w:rsidRPr="002C2BBF">
        <w:rPr>
          <w:szCs w:val="22"/>
        </w:rPr>
        <w:t>.</w:t>
      </w:r>
    </w:p>
    <w:p w:rsidR="00A2402C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  <w:t>Identification of key subcontractors and their responsibilities</w:t>
      </w:r>
      <w:r w:rsidRPr="002C2BBF">
        <w:rPr>
          <w:szCs w:val="22"/>
        </w:rPr>
        <w:t>.</w:t>
      </w:r>
    </w:p>
    <w:p w:rsidR="00A2402C" w:rsidRDefault="00A2402C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  <w:r>
        <w:rPr>
          <w:szCs w:val="22"/>
        </w:rPr>
        <w:tab/>
        <w:t>Proposed Project Management Staff and Organization Chart</w:t>
      </w:r>
    </w:p>
    <w:p w:rsidR="00F72DC2" w:rsidRDefault="00F72DC2" w:rsidP="00A2402C">
      <w:pPr>
        <w:pStyle w:val="StyleTimesNewRomanLeft033"/>
        <w:tabs>
          <w:tab w:val="left" w:leader="underscore" w:pos="720"/>
        </w:tabs>
        <w:spacing w:before="120"/>
        <w:ind w:left="720" w:hanging="720"/>
        <w:rPr>
          <w:szCs w:val="22"/>
        </w:rPr>
      </w:pPr>
    </w:p>
    <w:p w:rsidR="00A2402C" w:rsidRPr="00A2402C" w:rsidRDefault="00A2402C" w:rsidP="00420360">
      <w:pPr>
        <w:spacing w:beforeLines="100" w:before="240"/>
        <w:rPr>
          <w:sz w:val="22"/>
          <w:szCs w:val="22"/>
        </w:rPr>
      </w:pPr>
      <w:r w:rsidRPr="00A2402C">
        <w:rPr>
          <w:sz w:val="22"/>
          <w:szCs w:val="22"/>
        </w:rPr>
        <w:t xml:space="preserve">All options shall be inclusive of insurance, escalation, etc. and shall be expressed as a net add or deduct to the base bid (taxes are understood to be excluded).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0"/>
        <w:gridCol w:w="3744"/>
        <w:gridCol w:w="2026"/>
        <w:gridCol w:w="2025"/>
      </w:tblGrid>
      <w:tr w:rsidR="00A2402C" w:rsidRPr="00A2402C" w:rsidTr="002D1ABF">
        <w:trPr>
          <w:cantSplit/>
          <w:tblHeader/>
        </w:trPr>
        <w:tc>
          <w:tcPr>
            <w:tcW w:w="1440" w:type="dxa"/>
            <w:vAlign w:val="bottom"/>
          </w:tcPr>
          <w:p w:rsidR="00A2402C" w:rsidRPr="002E027D" w:rsidRDefault="00A2402C" w:rsidP="00317025">
            <w:pPr>
              <w:spacing w:before="120"/>
              <w:rPr>
                <w:b/>
                <w:szCs w:val="22"/>
              </w:rPr>
            </w:pPr>
            <w:r w:rsidRPr="002E027D">
              <w:rPr>
                <w:b/>
                <w:szCs w:val="22"/>
              </w:rPr>
              <w:t>Additive Options</w:t>
            </w:r>
          </w:p>
        </w:tc>
        <w:tc>
          <w:tcPr>
            <w:tcW w:w="3744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025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A2402C" w:rsidTr="002D1ABF">
        <w:trPr>
          <w:cantSplit/>
          <w:tblHeader/>
        </w:trPr>
        <w:tc>
          <w:tcPr>
            <w:tcW w:w="144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3744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026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025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A2402C" w:rsidTr="002D1ABF">
        <w:trPr>
          <w:cantSplit/>
        </w:trPr>
        <w:tc>
          <w:tcPr>
            <w:tcW w:w="1440" w:type="dxa"/>
            <w:vAlign w:val="bottom"/>
          </w:tcPr>
          <w:p w:rsidR="00A2402C" w:rsidRPr="00A2402C" w:rsidRDefault="00A2402C" w:rsidP="00291BBB">
            <w:pPr>
              <w:spacing w:before="180"/>
              <w:rPr>
                <w:szCs w:val="22"/>
              </w:rPr>
            </w:pPr>
            <w:r w:rsidRPr="00A2402C">
              <w:t>1.</w:t>
            </w:r>
            <w:r w:rsidR="00291BBB">
              <w:t>14</w:t>
            </w:r>
            <w:r w:rsidR="0074107A">
              <w:t xml:space="preserve"> A</w:t>
            </w:r>
          </w:p>
        </w:tc>
        <w:tc>
          <w:tcPr>
            <w:tcW w:w="3744" w:type="dxa"/>
            <w:vAlign w:val="bottom"/>
          </w:tcPr>
          <w:p w:rsidR="00A2402C" w:rsidRPr="00A2402C" w:rsidRDefault="00420360" w:rsidP="00317025">
            <w:pPr>
              <w:spacing w:before="180"/>
              <w:rPr>
                <w:szCs w:val="22"/>
              </w:rPr>
            </w:pPr>
            <w:r>
              <w:rPr>
                <w:szCs w:val="22"/>
              </w:rPr>
              <w:t>Bowl Sound System Delay Speakers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2402C" w:rsidRPr="00A2402C" w:rsidRDefault="00A2402C" w:rsidP="00317025">
            <w:r w:rsidRPr="00A2402C">
              <w:rPr>
                <w:szCs w:val="22"/>
              </w:rPr>
              <w:t>$</w:t>
            </w:r>
          </w:p>
        </w:tc>
        <w:tc>
          <w:tcPr>
            <w:tcW w:w="2025" w:type="dxa"/>
            <w:vAlign w:val="bottom"/>
          </w:tcPr>
          <w:p w:rsidR="00A2402C" w:rsidRPr="005D137E" w:rsidRDefault="00A2402C" w:rsidP="00A2402C">
            <w:pPr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A2402C" w:rsidRPr="00A2402C" w:rsidTr="002D1ABF">
        <w:trPr>
          <w:cantSplit/>
        </w:trPr>
        <w:tc>
          <w:tcPr>
            <w:tcW w:w="1440" w:type="dxa"/>
            <w:vAlign w:val="bottom"/>
          </w:tcPr>
          <w:p w:rsidR="00A2402C" w:rsidRPr="00A2402C" w:rsidRDefault="00A2402C" w:rsidP="00317025"/>
        </w:tc>
        <w:tc>
          <w:tcPr>
            <w:tcW w:w="3744" w:type="dxa"/>
            <w:vAlign w:val="bottom"/>
          </w:tcPr>
          <w:p w:rsidR="00A2402C" w:rsidRPr="00A2402C" w:rsidRDefault="00A2402C" w:rsidP="00317025"/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A2402C" w:rsidRPr="00A2402C" w:rsidRDefault="00A2402C" w:rsidP="00317025"/>
        </w:tc>
        <w:tc>
          <w:tcPr>
            <w:tcW w:w="2025" w:type="dxa"/>
            <w:vAlign w:val="bottom"/>
          </w:tcPr>
          <w:p w:rsidR="00A2402C" w:rsidRPr="00A2402C" w:rsidRDefault="00A2402C" w:rsidP="00317025">
            <w:pPr>
              <w:rPr>
                <w:szCs w:val="22"/>
              </w:rPr>
            </w:pPr>
          </w:p>
        </w:tc>
      </w:tr>
      <w:tr w:rsidR="00A2402C" w:rsidRPr="00A2402C" w:rsidTr="002D1ABF">
        <w:trPr>
          <w:cantSplit/>
        </w:trPr>
        <w:tc>
          <w:tcPr>
            <w:tcW w:w="1440" w:type="dxa"/>
            <w:vAlign w:val="bottom"/>
          </w:tcPr>
          <w:p w:rsidR="00A2402C" w:rsidRPr="00A2402C" w:rsidRDefault="0074107A" w:rsidP="00291BBB">
            <w:r>
              <w:rPr>
                <w:szCs w:val="22"/>
              </w:rPr>
              <w:t>1.</w:t>
            </w:r>
            <w:r w:rsidR="00291BBB">
              <w:rPr>
                <w:szCs w:val="22"/>
              </w:rPr>
              <w:t>14</w:t>
            </w:r>
            <w:r>
              <w:rPr>
                <w:szCs w:val="22"/>
              </w:rPr>
              <w:t xml:space="preserve"> B</w:t>
            </w:r>
          </w:p>
        </w:tc>
        <w:tc>
          <w:tcPr>
            <w:tcW w:w="3744" w:type="dxa"/>
            <w:vAlign w:val="bottom"/>
          </w:tcPr>
          <w:p w:rsidR="00A2402C" w:rsidRPr="00A2402C" w:rsidRDefault="00420360" w:rsidP="00317025">
            <w:r>
              <w:t xml:space="preserve">Intercom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A2402C" w:rsidRPr="00A2402C" w:rsidRDefault="00A2402C" w:rsidP="00317025">
            <w:r w:rsidRPr="00A2402C">
              <w:rPr>
                <w:szCs w:val="22"/>
              </w:rPr>
              <w:t>$</w:t>
            </w:r>
          </w:p>
        </w:tc>
        <w:tc>
          <w:tcPr>
            <w:tcW w:w="2025" w:type="dxa"/>
            <w:vAlign w:val="bottom"/>
          </w:tcPr>
          <w:p w:rsidR="00A2402C" w:rsidRPr="005D137E" w:rsidRDefault="00A2402C" w:rsidP="00A2402C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A2402C" w:rsidRPr="00A2402C" w:rsidTr="002D1ABF">
        <w:trPr>
          <w:cantSplit/>
        </w:trPr>
        <w:tc>
          <w:tcPr>
            <w:tcW w:w="1440" w:type="dxa"/>
            <w:vAlign w:val="bottom"/>
          </w:tcPr>
          <w:p w:rsidR="00A2402C" w:rsidRPr="00A2402C" w:rsidRDefault="00A2402C" w:rsidP="00317025"/>
        </w:tc>
        <w:tc>
          <w:tcPr>
            <w:tcW w:w="3744" w:type="dxa"/>
            <w:vAlign w:val="bottom"/>
          </w:tcPr>
          <w:p w:rsidR="00A2402C" w:rsidRPr="00A2402C" w:rsidRDefault="00A2402C" w:rsidP="00317025"/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A2402C" w:rsidRPr="00A2402C" w:rsidRDefault="00A2402C" w:rsidP="00317025"/>
        </w:tc>
        <w:tc>
          <w:tcPr>
            <w:tcW w:w="2025" w:type="dxa"/>
            <w:vAlign w:val="bottom"/>
          </w:tcPr>
          <w:p w:rsidR="00A2402C" w:rsidRPr="00A2402C" w:rsidRDefault="00A2402C" w:rsidP="00317025">
            <w:pPr>
              <w:rPr>
                <w:szCs w:val="22"/>
              </w:rPr>
            </w:pPr>
          </w:p>
        </w:tc>
      </w:tr>
      <w:tr w:rsidR="002D1ABF" w:rsidRPr="005D137E" w:rsidTr="002D1ABF">
        <w:trPr>
          <w:cantSplit/>
        </w:trPr>
        <w:tc>
          <w:tcPr>
            <w:tcW w:w="1440" w:type="dxa"/>
            <w:vAlign w:val="bottom"/>
          </w:tcPr>
          <w:p w:rsidR="002D1ABF" w:rsidRPr="00A2402C" w:rsidRDefault="0074107A" w:rsidP="00291BBB">
            <w:r>
              <w:rPr>
                <w:szCs w:val="22"/>
              </w:rPr>
              <w:t>1.</w:t>
            </w:r>
            <w:r w:rsidR="00291BBB">
              <w:rPr>
                <w:szCs w:val="22"/>
              </w:rPr>
              <w:t>14</w:t>
            </w:r>
            <w:r>
              <w:rPr>
                <w:szCs w:val="22"/>
              </w:rPr>
              <w:t xml:space="preserve"> C</w:t>
            </w:r>
          </w:p>
        </w:tc>
        <w:tc>
          <w:tcPr>
            <w:tcW w:w="3744" w:type="dxa"/>
            <w:vAlign w:val="bottom"/>
          </w:tcPr>
          <w:p w:rsidR="002D1ABF" w:rsidRPr="00A2402C" w:rsidRDefault="002D1ABF" w:rsidP="00317025">
            <w:r>
              <w:t xml:space="preserve">Service contract years 2-5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bottom"/>
          </w:tcPr>
          <w:p w:rsidR="002D1ABF" w:rsidRPr="00A2402C" w:rsidRDefault="002D1ABF" w:rsidP="00317025"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 xml:space="preserve"> per year</w:t>
            </w:r>
          </w:p>
        </w:tc>
        <w:tc>
          <w:tcPr>
            <w:tcW w:w="2025" w:type="dxa"/>
            <w:vAlign w:val="bottom"/>
          </w:tcPr>
          <w:p w:rsidR="002D1ABF" w:rsidRPr="005D137E" w:rsidRDefault="002D1ABF" w:rsidP="00317025">
            <w:pPr>
              <w:spacing w:before="180"/>
              <w:rPr>
                <w:b/>
                <w:szCs w:val="22"/>
              </w:rPr>
            </w:pPr>
            <w:r w:rsidRPr="005D137E">
              <w:rPr>
                <w:b/>
                <w:szCs w:val="22"/>
              </w:rPr>
              <w:t>Add</w:t>
            </w:r>
          </w:p>
        </w:tc>
      </w:tr>
      <w:tr w:rsidR="002D1ABF" w:rsidRPr="00A2402C" w:rsidTr="002D1ABF">
        <w:trPr>
          <w:cantSplit/>
        </w:trPr>
        <w:tc>
          <w:tcPr>
            <w:tcW w:w="1440" w:type="dxa"/>
            <w:vAlign w:val="bottom"/>
          </w:tcPr>
          <w:p w:rsidR="002D1ABF" w:rsidRPr="00A2402C" w:rsidRDefault="002D1ABF" w:rsidP="00317025"/>
        </w:tc>
        <w:tc>
          <w:tcPr>
            <w:tcW w:w="3744" w:type="dxa"/>
            <w:vAlign w:val="bottom"/>
          </w:tcPr>
          <w:p w:rsidR="002D1ABF" w:rsidRPr="00A2402C" w:rsidRDefault="002D1ABF" w:rsidP="00317025"/>
        </w:tc>
        <w:tc>
          <w:tcPr>
            <w:tcW w:w="2026" w:type="dxa"/>
            <w:tcBorders>
              <w:top w:val="single" w:sz="12" w:space="0" w:color="auto"/>
            </w:tcBorders>
            <w:vAlign w:val="bottom"/>
          </w:tcPr>
          <w:p w:rsidR="002D1ABF" w:rsidRPr="00A2402C" w:rsidRDefault="002D1ABF" w:rsidP="00317025"/>
        </w:tc>
        <w:tc>
          <w:tcPr>
            <w:tcW w:w="2025" w:type="dxa"/>
            <w:vAlign w:val="bottom"/>
          </w:tcPr>
          <w:p w:rsidR="002D1ABF" w:rsidRPr="00A2402C" w:rsidRDefault="002D1ABF" w:rsidP="00317025">
            <w:pPr>
              <w:rPr>
                <w:szCs w:val="22"/>
              </w:rPr>
            </w:pPr>
          </w:p>
        </w:tc>
      </w:tr>
    </w:tbl>
    <w:p w:rsidR="00F72DC2" w:rsidRPr="00A2402C" w:rsidRDefault="00F72DC2" w:rsidP="00420360">
      <w:pPr>
        <w:spacing w:beforeLines="100" w:before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2402C" w:rsidRPr="002E027D" w:rsidRDefault="00A2402C" w:rsidP="00420360">
      <w:pPr>
        <w:spacing w:beforeLines="100" w:before="240"/>
        <w:rPr>
          <w:b/>
          <w:sz w:val="22"/>
          <w:szCs w:val="22"/>
        </w:rPr>
      </w:pPr>
      <w:r w:rsidRPr="002E027D">
        <w:rPr>
          <w:b/>
          <w:sz w:val="22"/>
          <w:szCs w:val="22"/>
        </w:rPr>
        <w:t xml:space="preserve">PHASE </w:t>
      </w:r>
      <w:r w:rsidR="00420360">
        <w:rPr>
          <w:b/>
          <w:sz w:val="22"/>
          <w:szCs w:val="22"/>
        </w:rPr>
        <w:t>1</w:t>
      </w:r>
      <w:r w:rsidRPr="002E027D">
        <w:rPr>
          <w:b/>
          <w:sz w:val="22"/>
          <w:szCs w:val="22"/>
        </w:rPr>
        <w:t xml:space="preserve"> Unit Costs </w:t>
      </w:r>
    </w:p>
    <w:p w:rsidR="00A2402C" w:rsidRPr="00A2402C" w:rsidRDefault="00A2402C" w:rsidP="00A2402C">
      <w:pPr>
        <w:keepNext/>
        <w:ind w:left="475"/>
        <w:rPr>
          <w:sz w:val="22"/>
          <w:szCs w:val="22"/>
        </w:rPr>
      </w:pPr>
    </w:p>
    <w:tbl>
      <w:tblPr>
        <w:tblW w:w="9532" w:type="dxa"/>
        <w:tblInd w:w="18" w:type="dxa"/>
        <w:tblLook w:val="00A0" w:firstRow="1" w:lastRow="0" w:firstColumn="1" w:lastColumn="0" w:noHBand="0" w:noVBand="0"/>
      </w:tblPr>
      <w:tblGrid>
        <w:gridCol w:w="5970"/>
        <w:gridCol w:w="268"/>
        <w:gridCol w:w="2330"/>
        <w:gridCol w:w="268"/>
        <w:gridCol w:w="696"/>
      </w:tblGrid>
      <w:tr w:rsidR="00A2402C" w:rsidRPr="00A2402C" w:rsidTr="0074107A">
        <w:trPr>
          <w:cantSplit/>
          <w:tblHeader/>
        </w:trPr>
        <w:tc>
          <w:tcPr>
            <w:tcW w:w="5970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  <w:r w:rsidRPr="00A2402C">
              <w:rPr>
                <w:szCs w:val="22"/>
              </w:rPr>
              <w:t>Unit Cost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A2402C" w:rsidRDefault="00A2402C" w:rsidP="00317025">
            <w:pPr>
              <w:keepNext/>
              <w:rPr>
                <w:szCs w:val="22"/>
              </w:rPr>
            </w:pPr>
          </w:p>
        </w:tc>
      </w:tr>
      <w:tr w:rsidR="00A2402C" w:rsidRPr="00A2402C" w:rsidTr="0074107A">
        <w:trPr>
          <w:cantSplit/>
        </w:trPr>
        <w:tc>
          <w:tcPr>
            <w:tcW w:w="5970" w:type="dxa"/>
            <w:vAlign w:val="bottom"/>
          </w:tcPr>
          <w:p w:rsidR="00A2402C" w:rsidRPr="00A2402C" w:rsidRDefault="00A2402C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 xml:space="preserve">Bowl Sound System </w:t>
            </w:r>
            <w:r w:rsidR="00400751">
              <w:rPr>
                <w:szCs w:val="22"/>
              </w:rPr>
              <w:t xml:space="preserve">Arrays </w:t>
            </w:r>
            <w:r w:rsidR="0074107A">
              <w:rPr>
                <w:szCs w:val="22"/>
              </w:rPr>
              <w:t>(DSP, Amplifiers, Cabling, Speakers, Installation Programming)</w:t>
            </w:r>
            <w:r w:rsidRPr="00A2402C">
              <w:rPr>
                <w:szCs w:val="22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400751" w:rsidRPr="0077742B" w:rsidTr="0074107A">
        <w:trPr>
          <w:cantSplit/>
        </w:trPr>
        <w:tc>
          <w:tcPr>
            <w:tcW w:w="5970" w:type="dxa"/>
            <w:vAlign w:val="bottom"/>
          </w:tcPr>
          <w:p w:rsidR="00400751" w:rsidRPr="00A2402C" w:rsidRDefault="00400751" w:rsidP="00400751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>
              <w:rPr>
                <w:szCs w:val="22"/>
              </w:rPr>
              <w:t>Bowl Sound System Subwoofers (DSP, Amplifiers, Cabling, Speakers, Installation Programming)</w:t>
            </w:r>
            <w:r w:rsidRPr="00A2402C">
              <w:rPr>
                <w:szCs w:val="22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</w:p>
        </w:tc>
      </w:tr>
      <w:tr w:rsidR="00400751" w:rsidRPr="0077742B" w:rsidTr="0074107A">
        <w:trPr>
          <w:cantSplit/>
        </w:trPr>
        <w:tc>
          <w:tcPr>
            <w:tcW w:w="5970" w:type="dxa"/>
            <w:vAlign w:val="bottom"/>
          </w:tcPr>
          <w:p w:rsidR="00400751" w:rsidRPr="00A2402C" w:rsidRDefault="00400751" w:rsidP="00400751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>
              <w:rPr>
                <w:szCs w:val="22"/>
              </w:rPr>
              <w:t>Bowl Sound System Scoreboard Speakers (DSP, Amplifiers, Cabling, Speakers, Installation Programming)</w:t>
            </w:r>
            <w:r w:rsidRPr="00A2402C">
              <w:rPr>
                <w:szCs w:val="22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400751" w:rsidRPr="00A2402C" w:rsidRDefault="00400751" w:rsidP="007115EC">
            <w:pPr>
              <w:spacing w:before="120"/>
              <w:rPr>
                <w:szCs w:val="22"/>
              </w:rPr>
            </w:pPr>
          </w:p>
        </w:tc>
      </w:tr>
      <w:tr w:rsidR="00A2402C" w:rsidRPr="0077742B" w:rsidTr="0074107A">
        <w:trPr>
          <w:cantSplit/>
        </w:trPr>
        <w:tc>
          <w:tcPr>
            <w:tcW w:w="5970" w:type="dxa"/>
            <w:vAlign w:val="bottom"/>
          </w:tcPr>
          <w:p w:rsidR="00A2402C" w:rsidRPr="00A2402C" w:rsidRDefault="00A2402C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>Suites (DSP, Amplifiers, Cabling, Speakers, Installation)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74107A">
        <w:trPr>
          <w:cantSplit/>
        </w:trPr>
        <w:tc>
          <w:tcPr>
            <w:tcW w:w="5970" w:type="dxa"/>
            <w:vAlign w:val="bottom"/>
          </w:tcPr>
          <w:p w:rsidR="00A2402C" w:rsidRPr="00A2402C" w:rsidRDefault="00A2402C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>Control Room (Equipment, Cabling, Installation, Programming)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74107A">
        <w:trPr>
          <w:cantSplit/>
        </w:trPr>
        <w:tc>
          <w:tcPr>
            <w:tcW w:w="5970" w:type="dxa"/>
            <w:vAlign w:val="bottom"/>
          </w:tcPr>
          <w:p w:rsidR="00A2402C" w:rsidRPr="00A2402C" w:rsidRDefault="00A2402C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>Level 1 Areas (DSP, Amplifiers, Cabling, Speakers, Installation)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74107A">
        <w:trPr>
          <w:cantSplit/>
        </w:trPr>
        <w:tc>
          <w:tcPr>
            <w:tcW w:w="5970" w:type="dxa"/>
            <w:vAlign w:val="bottom"/>
          </w:tcPr>
          <w:p w:rsidR="00A2402C" w:rsidRPr="00A2402C" w:rsidRDefault="00A2402C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>Level 2 Areas (DSP, Amplifiers, Cabling, Speakers, Installation)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A2402C" w:rsidRPr="0077742B" w:rsidTr="0074107A">
        <w:trPr>
          <w:cantSplit/>
        </w:trPr>
        <w:tc>
          <w:tcPr>
            <w:tcW w:w="5970" w:type="dxa"/>
            <w:vAlign w:val="bottom"/>
          </w:tcPr>
          <w:p w:rsidR="00A2402C" w:rsidRPr="00A2402C" w:rsidRDefault="00071073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>Concourse (DSP, Amplifiers, Cabling, Speakers, Installation, Programming)</w:t>
            </w:r>
          </w:p>
        </w:tc>
        <w:tc>
          <w:tcPr>
            <w:tcW w:w="268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A2402C" w:rsidRPr="00A2402C" w:rsidRDefault="00A2402C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A2402C" w:rsidRPr="0077742B" w:rsidRDefault="00A2402C" w:rsidP="00317025">
            <w:pPr>
              <w:spacing w:before="120"/>
              <w:rPr>
                <w:szCs w:val="22"/>
              </w:rPr>
            </w:pPr>
          </w:p>
        </w:tc>
      </w:tr>
      <w:tr w:rsidR="00071073" w:rsidRPr="0077742B" w:rsidTr="0074107A">
        <w:trPr>
          <w:cantSplit/>
        </w:trPr>
        <w:tc>
          <w:tcPr>
            <w:tcW w:w="5970" w:type="dxa"/>
            <w:vAlign w:val="bottom"/>
          </w:tcPr>
          <w:p w:rsidR="00071073" w:rsidRPr="00A2402C" w:rsidRDefault="00071073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>Add Alternate Bowl Delay Speakers (DSP, Amplifiers, Cabling, Speakers, Installation)</w:t>
            </w:r>
          </w:p>
        </w:tc>
        <w:tc>
          <w:tcPr>
            <w:tcW w:w="268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</w:tr>
      <w:tr w:rsidR="00071073" w:rsidRPr="0077742B" w:rsidTr="0074107A">
        <w:trPr>
          <w:cantSplit/>
        </w:trPr>
        <w:tc>
          <w:tcPr>
            <w:tcW w:w="5970" w:type="dxa"/>
            <w:vAlign w:val="bottom"/>
          </w:tcPr>
          <w:p w:rsidR="00071073" w:rsidRPr="00A2402C" w:rsidRDefault="00071073" w:rsidP="0074107A">
            <w:pPr>
              <w:spacing w:before="120"/>
              <w:rPr>
                <w:szCs w:val="22"/>
              </w:rPr>
            </w:pPr>
            <w:r w:rsidRPr="00A2402C">
              <w:rPr>
                <w:szCs w:val="22"/>
              </w:rPr>
              <w:t xml:space="preserve">Unit Cost </w:t>
            </w:r>
            <w:r w:rsidR="0074107A">
              <w:rPr>
                <w:szCs w:val="22"/>
              </w:rPr>
              <w:t xml:space="preserve">Add Alternate </w:t>
            </w:r>
            <w:r>
              <w:rPr>
                <w:szCs w:val="22"/>
              </w:rPr>
              <w:t xml:space="preserve">Repair/ Refurbish </w:t>
            </w:r>
            <w:r w:rsidR="0074107A">
              <w:rPr>
                <w:szCs w:val="22"/>
              </w:rPr>
              <w:t>Intercom System</w:t>
            </w:r>
          </w:p>
        </w:tc>
        <w:tc>
          <w:tcPr>
            <w:tcW w:w="268" w:type="dxa"/>
            <w:vAlign w:val="bottom"/>
          </w:tcPr>
          <w:p w:rsidR="00071073" w:rsidRPr="00A2402C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071073" w:rsidRDefault="00071073" w:rsidP="0031702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$</w:t>
            </w:r>
            <w:r w:rsidR="00275FF8">
              <w:rPr>
                <w:szCs w:val="22"/>
              </w:rPr>
              <w:t>__________________</w:t>
            </w:r>
          </w:p>
        </w:tc>
        <w:tc>
          <w:tcPr>
            <w:tcW w:w="268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  <w:tc>
          <w:tcPr>
            <w:tcW w:w="696" w:type="dxa"/>
            <w:vAlign w:val="bottom"/>
          </w:tcPr>
          <w:p w:rsidR="00071073" w:rsidRPr="0077742B" w:rsidRDefault="00071073" w:rsidP="00317025">
            <w:pPr>
              <w:spacing w:before="120"/>
              <w:rPr>
                <w:szCs w:val="22"/>
              </w:rPr>
            </w:pPr>
          </w:p>
        </w:tc>
      </w:tr>
    </w:tbl>
    <w:p w:rsidR="001E4AC6" w:rsidRDefault="001E4AC6"/>
    <w:sectPr w:rsidR="001E4AC6" w:rsidSect="007A5DEE">
      <w:footerReference w:type="default" r:id="rId8"/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45" w:rsidRDefault="00A76F45" w:rsidP="00071073">
      <w:r>
        <w:separator/>
      </w:r>
    </w:p>
  </w:endnote>
  <w:endnote w:type="continuationSeparator" w:id="0">
    <w:p w:rsidR="00A76F45" w:rsidRDefault="00A76F45" w:rsidP="0007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E" w:rsidRDefault="00420360" w:rsidP="00AB5105">
    <w:pPr>
      <w:pStyle w:val="Footer"/>
      <w:tabs>
        <w:tab w:val="clear" w:pos="4320"/>
        <w:tab w:val="clear" w:pos="8640"/>
        <w:tab w:val="center" w:pos="5400"/>
        <w:tab w:val="right" w:pos="9900"/>
      </w:tabs>
      <w:spacing w:before="120"/>
      <w:ind w:right="180"/>
      <w:jc w:val="center"/>
      <w:rPr>
        <w:rFonts w:cs="Arial"/>
      </w:rPr>
    </w:pPr>
    <w:r>
      <w:rPr>
        <w:rFonts w:cs="Arial"/>
      </w:rPr>
      <w:t>Arena</w:t>
    </w:r>
    <w:r w:rsidR="00B054DF">
      <w:rPr>
        <w:rFonts w:cs="Arial"/>
      </w:rPr>
      <w:t xml:space="preserve"> Audio Reinforcement</w:t>
    </w:r>
    <w:r w:rsidR="00AE504B">
      <w:rPr>
        <w:rFonts w:cs="Arial"/>
      </w:rPr>
      <w:t xml:space="preserve"> System Proposal Form</w:t>
    </w:r>
    <w:r w:rsidR="00AE504B">
      <w:rPr>
        <w:rFonts w:cs="Arial"/>
      </w:rPr>
      <w:tab/>
    </w:r>
    <w:r w:rsidR="00AE504B">
      <w:rPr>
        <w:rFonts w:cs="Arial"/>
      </w:rPr>
      <w:tab/>
    </w:r>
    <w:r w:rsidR="00AE504B" w:rsidRPr="007A5DEE">
      <w:rPr>
        <w:rFonts w:cs="Arial"/>
      </w:rPr>
      <w:t xml:space="preserve">Page </w:t>
    </w:r>
    <w:r w:rsidR="002E60EC" w:rsidRPr="007A5DEE">
      <w:rPr>
        <w:rStyle w:val="PageNumber"/>
      </w:rPr>
      <w:fldChar w:fldCharType="begin"/>
    </w:r>
    <w:r w:rsidR="00AE504B" w:rsidRPr="007A5DEE">
      <w:rPr>
        <w:rStyle w:val="PageNumber"/>
      </w:rPr>
      <w:instrText xml:space="preserve"> PAGE </w:instrText>
    </w:r>
    <w:r w:rsidR="002E60EC" w:rsidRPr="007A5DEE">
      <w:rPr>
        <w:rStyle w:val="PageNumber"/>
      </w:rPr>
      <w:fldChar w:fldCharType="separate"/>
    </w:r>
    <w:r w:rsidR="00201D51">
      <w:rPr>
        <w:rStyle w:val="PageNumber"/>
        <w:noProof/>
      </w:rPr>
      <w:t>1</w:t>
    </w:r>
    <w:r w:rsidR="002E60EC" w:rsidRPr="007A5DEE">
      <w:rPr>
        <w:rStyle w:val="PageNumber"/>
      </w:rPr>
      <w:fldChar w:fldCharType="end"/>
    </w:r>
    <w:r w:rsidR="00AE504B" w:rsidRPr="007A5DEE">
      <w:rPr>
        <w:rStyle w:val="PageNumber"/>
      </w:rPr>
      <w:t xml:space="preserve"> of </w:t>
    </w:r>
    <w:fldSimple w:instr=" SECTIONPAGES   \* MERGEFORMAT ">
      <w:r w:rsidR="00201D51" w:rsidRPr="00201D51">
        <w:rPr>
          <w:rStyle w:val="PageNumber"/>
          <w:rFonts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45" w:rsidRDefault="00A76F45" w:rsidP="00071073">
      <w:r>
        <w:separator/>
      </w:r>
    </w:p>
  </w:footnote>
  <w:footnote w:type="continuationSeparator" w:id="0">
    <w:p w:rsidR="00A76F45" w:rsidRDefault="00A76F45" w:rsidP="0007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7883F8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76" w:hanging="576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52" w:hanging="576"/>
      </w:pPr>
      <w:rPr>
        <w:rFonts w:hint="default"/>
        <w:b w:val="0"/>
      </w:rPr>
    </w:lvl>
    <w:lvl w:ilvl="2">
      <w:start w:val="1"/>
      <w:numFmt w:val="upperLetter"/>
      <w:pStyle w:val="StyleHeading3Part101IndentHeading3CharGaramond12pt"/>
      <w:lvlText w:val="%3."/>
      <w:lvlJc w:val="left"/>
      <w:pPr>
        <w:tabs>
          <w:tab w:val="num" w:pos="1584"/>
        </w:tabs>
        <w:ind w:left="1584" w:hanging="432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yleHeading4ArticleHeading4Char2CharHeading4CharChar1C"/>
      <w:lvlText w:val="%4."/>
      <w:lvlJc w:val="left"/>
      <w:pPr>
        <w:tabs>
          <w:tab w:val="num" w:pos="2016"/>
        </w:tabs>
        <w:ind w:left="2016" w:hanging="432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tyleHeading5ParagraphGaramond12pt"/>
      <w:lvlText w:val="%5."/>
      <w:lvlJc w:val="left"/>
      <w:pPr>
        <w:tabs>
          <w:tab w:val="num" w:pos="2412"/>
        </w:tabs>
        <w:ind w:left="2412" w:hanging="432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StyleHeading6Sub-ParagraphGaramond12pt"/>
      <w:lvlText w:val="(%6)"/>
      <w:lvlJc w:val="left"/>
      <w:pPr>
        <w:tabs>
          <w:tab w:val="num" w:pos="0"/>
        </w:tabs>
        <w:ind w:left="2880" w:hanging="432"/>
      </w:pPr>
      <w:rPr>
        <w:rFonts w:ascii="Garamond" w:hAnsi="Garamond" w:cs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672"/>
        </w:tabs>
        <w:ind w:left="3672" w:hanging="432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" w15:restartNumberingAfterBreak="0">
    <w:nsid w:val="4EBB295A"/>
    <w:multiLevelType w:val="multilevel"/>
    <w:tmpl w:val="557C07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4E322DF"/>
    <w:multiLevelType w:val="multilevel"/>
    <w:tmpl w:val="4A0E93F2"/>
    <w:lvl w:ilvl="0">
      <w:start w:val="1"/>
      <w:numFmt w:val="decimal"/>
      <w:suff w:val="space"/>
      <w:lvlText w:val="PART %1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.%2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80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232"/>
        </w:tabs>
        <w:ind w:left="2232" w:hanging="57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664"/>
        </w:tabs>
        <w:ind w:left="2664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lowerLetter"/>
      <w:lvlText w:val="(%7)"/>
      <w:lvlJc w:val="left"/>
      <w:pPr>
        <w:tabs>
          <w:tab w:val="num" w:pos="2290"/>
        </w:tabs>
        <w:ind w:left="2290" w:hanging="720"/>
      </w:pPr>
      <w:rPr>
        <w:rFonts w:ascii="CG Times" w:hAnsi="CG Times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3096"/>
        </w:tabs>
        <w:ind w:left="3096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-1310"/>
        </w:tabs>
        <w:ind w:left="373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C"/>
    <w:rsid w:val="0001705C"/>
    <w:rsid w:val="00071073"/>
    <w:rsid w:val="000C27A0"/>
    <w:rsid w:val="000E591A"/>
    <w:rsid w:val="001A1AF6"/>
    <w:rsid w:val="001E4AC6"/>
    <w:rsid w:val="00201D51"/>
    <w:rsid w:val="00275FF8"/>
    <w:rsid w:val="00291BBB"/>
    <w:rsid w:val="002D1ABF"/>
    <w:rsid w:val="002E027D"/>
    <w:rsid w:val="002E60EC"/>
    <w:rsid w:val="00375287"/>
    <w:rsid w:val="00400751"/>
    <w:rsid w:val="00420360"/>
    <w:rsid w:val="0051627B"/>
    <w:rsid w:val="005D137E"/>
    <w:rsid w:val="0074107A"/>
    <w:rsid w:val="008805EF"/>
    <w:rsid w:val="0098575B"/>
    <w:rsid w:val="00A2402C"/>
    <w:rsid w:val="00A76F45"/>
    <w:rsid w:val="00AE504B"/>
    <w:rsid w:val="00B054DF"/>
    <w:rsid w:val="00CA3B9F"/>
    <w:rsid w:val="00CD0283"/>
    <w:rsid w:val="00DA49A2"/>
    <w:rsid w:val="00E913A6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65CB3-7EE5-423E-9E54-9E46137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2C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Division"/>
    <w:basedOn w:val="Normal"/>
    <w:next w:val="Heading2"/>
    <w:link w:val="Heading1Char"/>
    <w:qFormat/>
    <w:rsid w:val="0001705C"/>
    <w:pPr>
      <w:keepNext/>
      <w:numPr>
        <w:numId w:val="19"/>
      </w:numPr>
      <w:spacing w:before="240"/>
      <w:outlineLvl w:val="0"/>
    </w:pPr>
    <w:rPr>
      <w:rFonts w:cs="Arial"/>
      <w:caps/>
    </w:rPr>
  </w:style>
  <w:style w:type="paragraph" w:styleId="Heading2">
    <w:name w:val="heading 2"/>
    <w:aliases w:val="Section"/>
    <w:basedOn w:val="Normal"/>
    <w:link w:val="Heading2Char"/>
    <w:qFormat/>
    <w:rsid w:val="0001705C"/>
    <w:pPr>
      <w:keepNext/>
      <w:numPr>
        <w:ilvl w:val="1"/>
        <w:numId w:val="19"/>
      </w:numPr>
      <w:suppressLineNumbers/>
      <w:spacing w:before="240"/>
      <w:outlineLvl w:val="1"/>
    </w:pPr>
    <w:rPr>
      <w:rFonts w:cs="Arial"/>
      <w:caps/>
    </w:rPr>
  </w:style>
  <w:style w:type="paragraph" w:styleId="Heading3">
    <w:name w:val="heading 3"/>
    <w:aliases w:val="Part,1.01 Indent,10 pt + Arial,Heading 3 Char1,Heading 3 Char Char"/>
    <w:basedOn w:val="Normal"/>
    <w:link w:val="Heading3Char"/>
    <w:qFormat/>
    <w:rsid w:val="0001705C"/>
    <w:pPr>
      <w:numPr>
        <w:ilvl w:val="2"/>
        <w:numId w:val="9"/>
      </w:numPr>
      <w:tabs>
        <w:tab w:val="clear" w:pos="1080"/>
        <w:tab w:val="num" w:pos="1728"/>
      </w:tabs>
      <w:spacing w:before="120"/>
      <w:ind w:left="1728" w:hanging="720"/>
      <w:outlineLvl w:val="2"/>
    </w:pPr>
    <w:rPr>
      <w:rFonts w:cs="Arial"/>
    </w:rPr>
  </w:style>
  <w:style w:type="paragraph" w:styleId="Heading4">
    <w:name w:val="heading 4"/>
    <w:aliases w:val="Article,Heading 4 Char2 Char,Heading 4 Char Char1 Char,Heading 4 Char1 Char Char Char,Heading 4 Char Char Char Char Char,Heading 4 Char1 Char1 Char,Heading 4 Char Char Char1 Char,Heading 4 Char2,Heading 4 Char Char1"/>
    <w:basedOn w:val="Normal"/>
    <w:link w:val="Heading4Char"/>
    <w:qFormat/>
    <w:rsid w:val="0001705C"/>
    <w:pPr>
      <w:numPr>
        <w:ilvl w:val="3"/>
        <w:numId w:val="9"/>
      </w:numPr>
      <w:tabs>
        <w:tab w:val="clear" w:pos="1656"/>
        <w:tab w:val="left" w:pos="1620"/>
        <w:tab w:val="num" w:pos="2160"/>
      </w:tabs>
      <w:ind w:left="2160" w:hanging="432"/>
      <w:outlineLvl w:val="3"/>
    </w:pPr>
    <w:rPr>
      <w:rFonts w:cs="Arial"/>
    </w:rPr>
  </w:style>
  <w:style w:type="paragraph" w:styleId="Heading5">
    <w:name w:val="heading 5"/>
    <w:aliases w:val="Paragraph,Heading 5 Char1,Heading 5 Char Char"/>
    <w:basedOn w:val="Normal"/>
    <w:link w:val="Heading5Char"/>
    <w:qFormat/>
    <w:rsid w:val="0001705C"/>
    <w:pPr>
      <w:numPr>
        <w:ilvl w:val="4"/>
        <w:numId w:val="9"/>
      </w:numPr>
      <w:tabs>
        <w:tab w:val="clear" w:pos="2232"/>
        <w:tab w:val="num" w:pos="2736"/>
      </w:tabs>
      <w:ind w:left="2736"/>
      <w:outlineLvl w:val="4"/>
    </w:pPr>
    <w:rPr>
      <w:rFonts w:cs="Arial"/>
    </w:rPr>
  </w:style>
  <w:style w:type="paragraph" w:styleId="Heading6">
    <w:name w:val="heading 6"/>
    <w:aliases w:val="Sub-Paragraph,pr4"/>
    <w:basedOn w:val="Normal"/>
    <w:link w:val="Heading6Char"/>
    <w:autoRedefine/>
    <w:qFormat/>
    <w:rsid w:val="0001705C"/>
    <w:pPr>
      <w:numPr>
        <w:ilvl w:val="5"/>
        <w:numId w:val="9"/>
      </w:numPr>
      <w:tabs>
        <w:tab w:val="clear" w:pos="2664"/>
        <w:tab w:val="num" w:pos="3312"/>
      </w:tabs>
      <w:ind w:left="3312" w:hanging="576"/>
      <w:outlineLvl w:val="5"/>
    </w:pPr>
    <w:rPr>
      <w:rFonts w:cs="Arial"/>
    </w:rPr>
  </w:style>
  <w:style w:type="paragraph" w:styleId="Heading7">
    <w:name w:val="heading 7"/>
    <w:aliases w:val="Unused,Item"/>
    <w:basedOn w:val="Normal"/>
    <w:link w:val="Heading7Char"/>
    <w:qFormat/>
    <w:rsid w:val="0001705C"/>
    <w:pPr>
      <w:numPr>
        <w:ilvl w:val="6"/>
        <w:numId w:val="19"/>
      </w:numPr>
      <w:outlineLvl w:val="6"/>
    </w:pPr>
    <w:rPr>
      <w:rFonts w:ascii="CG Times" w:hAnsi="CG Times"/>
      <w:sz w:val="24"/>
      <w:szCs w:val="24"/>
    </w:rPr>
  </w:style>
  <w:style w:type="paragraph" w:styleId="Heading8">
    <w:name w:val="heading 8"/>
    <w:aliases w:val="Sub Item"/>
    <w:basedOn w:val="Normal"/>
    <w:next w:val="Normal"/>
    <w:link w:val="Heading8Char"/>
    <w:autoRedefine/>
    <w:qFormat/>
    <w:rsid w:val="0001705C"/>
    <w:pPr>
      <w:numPr>
        <w:ilvl w:val="7"/>
        <w:numId w:val="19"/>
      </w:numPr>
      <w:suppressLineNumbers/>
      <w:outlineLvl w:val="7"/>
    </w:pPr>
    <w:rPr>
      <w:rFonts w:cs="Arial"/>
    </w:rPr>
  </w:style>
  <w:style w:type="paragraph" w:styleId="Heading9">
    <w:name w:val="heading 9"/>
    <w:basedOn w:val="Normal"/>
    <w:next w:val="Normal"/>
    <w:link w:val="Heading9Char"/>
    <w:qFormat/>
    <w:rsid w:val="0001705C"/>
    <w:pPr>
      <w:numPr>
        <w:ilvl w:val="8"/>
        <w:numId w:val="19"/>
      </w:numPr>
      <w:outlineLvl w:val="8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ivision Char"/>
    <w:link w:val="Heading1"/>
    <w:rsid w:val="0001705C"/>
    <w:rPr>
      <w:rFonts w:ascii="Times New Roman" w:hAnsi="Times New Roman" w:cs="Arial"/>
      <w:caps/>
      <w:sz w:val="20"/>
      <w:szCs w:val="20"/>
    </w:rPr>
  </w:style>
  <w:style w:type="character" w:customStyle="1" w:styleId="Heading2Char">
    <w:name w:val="Heading 2 Char"/>
    <w:aliases w:val="Section Char"/>
    <w:link w:val="Heading2"/>
    <w:rsid w:val="0001705C"/>
    <w:rPr>
      <w:rFonts w:ascii="Times New Roman" w:hAnsi="Times New Roman" w:cs="Arial"/>
      <w:caps/>
      <w:sz w:val="20"/>
      <w:szCs w:val="20"/>
    </w:rPr>
  </w:style>
  <w:style w:type="character" w:customStyle="1" w:styleId="Heading3Char">
    <w:name w:val="Heading 3 Char"/>
    <w:aliases w:val="Part Char,1.01 Indent Char,10 pt + Arial Char,Heading 3 Char1 Char,Heading 3 Char Char Char"/>
    <w:link w:val="Heading3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4Char">
    <w:name w:val="Heading 4 Char"/>
    <w:aliases w:val="Article Char,Heading 4 Char2 Char Char,Heading 4 Char Char1 Char Char,Heading 4 Char1 Char Char Char Char,Heading 4 Char Char Char Char Char Char,Heading 4 Char1 Char1 Char Char,Heading 4 Char Char Char1 Char Char,Heading 4 Char2 Char1"/>
    <w:link w:val="Heading4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5Char">
    <w:name w:val="Heading 5 Char"/>
    <w:aliases w:val="Paragraph Char,Heading 5 Char1 Char,Heading 5 Char Char Char"/>
    <w:link w:val="Heading5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6Char">
    <w:name w:val="Heading 6 Char"/>
    <w:aliases w:val="Sub-Paragraph Char,pr4 Char"/>
    <w:link w:val="Heading6"/>
    <w:rsid w:val="0001705C"/>
    <w:rPr>
      <w:rFonts w:ascii="Times New Roman" w:eastAsia="Times New Roman" w:hAnsi="Times New Roman" w:cs="Arial"/>
      <w:sz w:val="20"/>
      <w:szCs w:val="20"/>
    </w:rPr>
  </w:style>
  <w:style w:type="character" w:customStyle="1" w:styleId="Heading7Char">
    <w:name w:val="Heading 7 Char"/>
    <w:aliases w:val="Unused Char,Item Char"/>
    <w:link w:val="Heading7"/>
    <w:rsid w:val="0001705C"/>
    <w:rPr>
      <w:rFonts w:ascii="CG Times" w:hAnsi="CG Times" w:cs="Times New Roman"/>
      <w:sz w:val="24"/>
      <w:szCs w:val="24"/>
    </w:rPr>
  </w:style>
  <w:style w:type="character" w:customStyle="1" w:styleId="Heading8Char">
    <w:name w:val="Heading 8 Char"/>
    <w:aliases w:val="Sub Item Char"/>
    <w:link w:val="Heading8"/>
    <w:rsid w:val="0001705C"/>
    <w:rPr>
      <w:rFonts w:ascii="Times New Roman" w:hAnsi="Times New Roman" w:cs="Arial"/>
      <w:sz w:val="20"/>
      <w:szCs w:val="20"/>
    </w:rPr>
  </w:style>
  <w:style w:type="character" w:customStyle="1" w:styleId="Heading9Char">
    <w:name w:val="Heading 9 Char"/>
    <w:link w:val="Heading9"/>
    <w:rsid w:val="0001705C"/>
    <w:rPr>
      <w:rFonts w:ascii="CG Times" w:hAnsi="CG Times" w:cs="Times New Roman"/>
      <w:sz w:val="24"/>
      <w:szCs w:val="20"/>
    </w:rPr>
  </w:style>
  <w:style w:type="paragraph" w:customStyle="1" w:styleId="StyleHeading2SectionGaramond12ptNotBoldBefore0pt">
    <w:name w:val="Style Heading 2Section + Garamond 12 pt Not Bold Before:  0 pt"/>
    <w:basedOn w:val="Heading2"/>
    <w:rsid w:val="00DA49A2"/>
    <w:pPr>
      <w:numPr>
        <w:ilvl w:val="0"/>
        <w:numId w:val="0"/>
      </w:numPr>
      <w:suppressLineNumbers w:val="0"/>
      <w:tabs>
        <w:tab w:val="left" w:pos="720"/>
      </w:tabs>
      <w:spacing w:before="0"/>
    </w:pPr>
    <w:rPr>
      <w:rFonts w:ascii="Garamond" w:hAnsi="Garamond" w:cs="Times New Roman"/>
      <w:sz w:val="24"/>
    </w:rPr>
  </w:style>
  <w:style w:type="paragraph" w:customStyle="1" w:styleId="StyleHeading3Part101IndentHeading3CharGaramond12pt">
    <w:name w:val="Style Heading 3Part1.01 IndentHeading 3 Char + Garamond 12 pt ..."/>
    <w:basedOn w:val="Heading3"/>
    <w:rsid w:val="00DA49A2"/>
    <w:pPr>
      <w:numPr>
        <w:numId w:val="19"/>
      </w:numPr>
      <w:tabs>
        <w:tab w:val="left" w:pos="720"/>
        <w:tab w:val="left" w:pos="1260"/>
      </w:tabs>
      <w:spacing w:before="0"/>
    </w:pPr>
    <w:rPr>
      <w:rFonts w:ascii="Garamond" w:hAnsi="Garamond" w:cs="Times New Roman"/>
      <w:sz w:val="24"/>
    </w:rPr>
  </w:style>
  <w:style w:type="paragraph" w:customStyle="1" w:styleId="StyleHeading4ArticleHeading4Char2CharHeading4CharChar1C">
    <w:name w:val="Style Heading 4ArticleHeading 4 Char2 CharHeading 4 Char Char1 C..."/>
    <w:basedOn w:val="Heading4"/>
    <w:rsid w:val="00DA49A2"/>
    <w:pPr>
      <w:numPr>
        <w:numId w:val="19"/>
      </w:numPr>
      <w:tabs>
        <w:tab w:val="clear" w:pos="1620"/>
        <w:tab w:val="left" w:pos="2880"/>
      </w:tabs>
    </w:pPr>
    <w:rPr>
      <w:rFonts w:ascii="Garamond" w:hAnsi="Garamond" w:cs="Times New Roman"/>
      <w:sz w:val="24"/>
    </w:rPr>
  </w:style>
  <w:style w:type="paragraph" w:customStyle="1" w:styleId="StyleHeading5ParagraphGaramond12pt">
    <w:name w:val="Style Heading 5Paragraph + Garamond 12 pt"/>
    <w:basedOn w:val="Heading5"/>
    <w:rsid w:val="00DA49A2"/>
    <w:pPr>
      <w:numPr>
        <w:numId w:val="19"/>
      </w:numPr>
    </w:pPr>
    <w:rPr>
      <w:rFonts w:ascii="Garamond" w:hAnsi="Garamond" w:cs="Times New Roman"/>
      <w:sz w:val="24"/>
    </w:rPr>
  </w:style>
  <w:style w:type="paragraph" w:customStyle="1" w:styleId="StyleHeading6Sub-ParagraphGaramond12pt">
    <w:name w:val="Style Heading 6Sub-Paragraph + Garamond 12 pt"/>
    <w:basedOn w:val="Heading6"/>
    <w:link w:val="StyleHeading6Sub-ParagraphGaramond12ptChar"/>
    <w:rsid w:val="00DA49A2"/>
    <w:pPr>
      <w:numPr>
        <w:numId w:val="19"/>
      </w:numPr>
    </w:pPr>
    <w:rPr>
      <w:rFonts w:ascii="Garamond" w:hAnsi="Garamond" w:cs="Times New Roman"/>
      <w:sz w:val="24"/>
    </w:rPr>
  </w:style>
  <w:style w:type="character" w:customStyle="1" w:styleId="StyleHeading6Sub-ParagraphGaramond12ptChar">
    <w:name w:val="Style Heading 6Sub-Paragraph + Garamond 12 pt Char"/>
    <w:basedOn w:val="Heading6Char"/>
    <w:link w:val="StyleHeading6Sub-ParagraphGaramond12pt"/>
    <w:rsid w:val="00DA49A2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A2402C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A2402C"/>
    <w:rPr>
      <w:rFonts w:ascii="Garamond" w:hAnsi="Garamond" w:cs="Times New Roman"/>
      <w:szCs w:val="20"/>
    </w:rPr>
  </w:style>
  <w:style w:type="paragraph" w:styleId="Title">
    <w:name w:val="Title"/>
    <w:basedOn w:val="Normal"/>
    <w:link w:val="TitleChar"/>
    <w:qFormat/>
    <w:rsid w:val="00A2402C"/>
    <w:pPr>
      <w:jc w:val="center"/>
    </w:pPr>
    <w:rPr>
      <w:rFonts w:ascii="Garamond" w:hAnsi="Garamond"/>
      <w:b/>
      <w:sz w:val="22"/>
    </w:rPr>
  </w:style>
  <w:style w:type="character" w:customStyle="1" w:styleId="TitleChar">
    <w:name w:val="Title Char"/>
    <w:basedOn w:val="DefaultParagraphFont"/>
    <w:link w:val="Title"/>
    <w:rsid w:val="00A2402C"/>
    <w:rPr>
      <w:rFonts w:ascii="Garamond" w:hAnsi="Garamond" w:cs="Times New Roman"/>
      <w:b/>
      <w:szCs w:val="20"/>
    </w:rPr>
  </w:style>
  <w:style w:type="paragraph" w:styleId="Footer">
    <w:name w:val="footer"/>
    <w:basedOn w:val="Normal"/>
    <w:link w:val="FooterChar"/>
    <w:rsid w:val="00A24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02C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A2402C"/>
  </w:style>
  <w:style w:type="paragraph" w:customStyle="1" w:styleId="StyleTimesNewRomanLeft033">
    <w:name w:val="Style Times New Roman Left:  0.33&quot;"/>
    <w:basedOn w:val="Normal"/>
    <w:rsid w:val="00A2402C"/>
    <w:pPr>
      <w:spacing w:before="220"/>
    </w:pPr>
    <w:rPr>
      <w:rFonts w:eastAsia="MS Mincho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7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73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FA5B-1E31-4CDE-A0D6-767DACE9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Bray</dc:creator>
  <cp:lastModifiedBy>Whitney Elizabeth Smith</cp:lastModifiedBy>
  <cp:revision>2</cp:revision>
  <cp:lastPrinted>2015-05-19T22:50:00Z</cp:lastPrinted>
  <dcterms:created xsi:type="dcterms:W3CDTF">2015-05-27T21:17:00Z</dcterms:created>
  <dcterms:modified xsi:type="dcterms:W3CDTF">2015-05-27T21:17:00Z</dcterms:modified>
</cp:coreProperties>
</file>